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5A.13/2000 vom 29. Juni 2000</w:t>
      </w:r>
    </w:p>
    <w:p>
      <w:r>
        <w:t>Bundesgericht, 2000-06-29, DE</w:t>
      </w:r>
    </w:p>
    <w:p>
      <w:r>
        <w:rPr>
          <w:b/>
        </w:rPr>
        <w:t xml:space="preserve">Quelle: </w:t>
      </w:r>
      <w:r>
        <w:t>https://mcp.opencaselaw.ch/entscheid/bger_5A.13_2000</w:t>
      </w:r>
    </w:p>
    <w:p>
      <w:r>
        <w:t>FR: TF 5A.13/2000 du 29 juin 2000</w:t>
      </w:r>
    </w:p>
    <w:p>
      <w:r>
        <w:t>IT: TF 5A.13/2000 del 29 giugno 2000</w:t>
      </w:r>
    </w:p>
    <w:p>
      <w:pPr>
        <w:pStyle w:val="Heading2"/>
      </w:pPr>
      <w:r>
        <w:t>Regeste</w:t>
      </w:r>
    </w:p>
    <w:p>
      <w:r>
        <w:t>Personenrecht</w:t>
      </w:r>
    </w:p>
    <w:p>
      <w:pPr>
        <w:pStyle w:val="Heading2"/>
      </w:pPr>
      <w:r>
        <w:t>Erwägungen</w:t>
      </w:r>
    </w:p>
    <w:p>
      <w:r>
        <w:rPr>
          <w:b/>
        </w:rPr>
        <w:t>E. 2</w:t>
      </w:r>
    </w:p>
    <w:p>
      <w:r>
        <w:t>Der Beschwerdeführer rügt die u.a. gegen ihn erlassene Verfügung als rechtswidrig und macht namentlich die Verletzung des Legalitätsprinzips geltend. a) Gemäss Art. 84 ZGB stehen die Stiftungen unter der Aufsicht des Gemeinwesens, dem sie nach ihrer Bestimmung angehören (Abs. 1). Die Aufsichtsbehörde hat dafür zu sorgen, dass das Stiftungsvermögen seinen Zwecken gemäss verwendet wird (Abs. 2). Dabei stehen den Aufsichtsbehörden eine ganze Reihe von - präventiven und repressiven - Aufsichtsmitteln zur Verfügung (vgl. Hans Michael Riemer, Berner Kommentar, Bern 1975, N 54 ff. zu Art. 84 ZGB ). Da Drittpersonen der Stiftungsaufsicht nicht unterstehen, kann die Aufsichtsbehörde Dritten grundsätzlich keine Weisungen erteilen. Handlungen Dritter gegenüber der Stiftung - z.B. Erfüllung von Leistungsversprechen, Rückerstattung stiftungswidrig bezogener Leistungen - können nur indirekt mittels Weisungen an die Stiftung erwirkt werden (Riemer, a.a.O., N 91 f. zu Art. 84 m.w.H.). Denkbar ist zwar, dass die Aufsichtsbehörde einem Schuldner oder Gläubiger der Stiftung Weisungen mit Bezug auf sein Verhalten gegenüber der Stiftung erteilt, wenn Gefahr in Verzug ist (Riemer, a.a.O., N 115 zu Art. 84 ZGB erwähnt die Sperrung von Bankkonten der Stiftung bzw. die Anweisung an einen Schuldner, nur noch auf ein Sperrkonto oder an die Aufsichtsbehörde zu leisten), doch bezwecken diese Massnahmen zu verhindern, dass der Stiftungsrat über das Stiftungsvermögen verfügen kann, nicht aber, über Rechtspflichten Dritter zu statuieren. b) Im vorliegenden Fall ist das EDI, auch wenn es aus dem angefochtenen Entscheid nicht ausdrücklich hervorgeht, in seiner Eigenschaft als Aufsichtsbehörde des Bundes über die Stiftung B.________ in Funktion getreten. Weder ist der Beschwerdeführer, an den sich die Anweisungen der Aufsichtsbehörde richten, Organ der beaufsichtigten Stiftung, noch ist bekannt, dass er von dieser bzw. von deren Beistand in irgendeiner Weise beauftragt worden wäre. Aus einem früheren Verfahren ist zwar bekannt, dass der Beschwerdeführer über eine Vollmacht von S.T.________ verfügt, die Generalbevollmächtigte von G.R.________ ist und zusammen mit diesem dem Stiftungsrat der Stiftung B.________ angehört, doch wird die Funktion der Stiftungsorgane seit der Anordnung einer Beistandschaft durch den Beistand der Stiftung B.________ Kunststiftung wahrgenommen. Im Übrigen sind der Zwischenverfügung auch keinerlei Sachverhalte zu entnehmen, aufgrund welcher der für sich selber handelnde Beschwerdeführer als "Hilfsperson" im Sinn von Ziff. 2 der angefochtenen Verfügung betrachtet werden könnte. c) Unter diesen Umständen hat aber der Beschwerdeführer als Dritter zu gelten und untersteht weder der Stiftungsaufsicht im Allgemeinen noch der Weisungsbefugnis der Aufsichtsbehörde im Besonderen. Der an den Beschwerdeführer ergangene Befehl, die Rückführung und Einlagerung der Bilder der Collection G.R.________ im Tresorraum der Kunststiftung in Embrach-Embraport verhindernde oder erschwerende Handlungen zu unterlassen und Weisungen des Beistandes zu befolgen, entbehrt der gesetzlichen Grundlage und ist daher aufzuheben. Damit erübrigt sich, auf die weiteren Rügen - u.a. Verletzung des rechtlichen Gehörs und des Verhältnismässigkeitsgebots - einzugehen. Entbehrt aber der Befehl einer gesetzlichen Grundlage, gilt dies ohne Weiteres auch für die Strafandrohung. 3.-Zusammenfassend ergibt sich, dass die Verwaltungsgerichtsbeschwerde gutzuheissen ist, soweit darauf einzutreten ist, und dass die "Zwischenverfügung" des EDI vom 24. Mai 2000, soweit den Beschwerdeführer betreffend, aufzuheben ist. Damit ist das Gesuch um Erteilung aufschiebender Wirkung gegenstandslos geworden. Gerichtskosten werden keine auferlegt ( Art. 156 Abs. 2 OG ). Antragsgemäss ist dem Beschwerdeführer hingegen eine Parteientschädigung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