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5A.11/2006 vom 27. Juni 2006</w:t>
      </w:r>
    </w:p>
    <w:p>
      <w:r>
        <w:t>Bundesgericht, 2006-06-27, FR</w:t>
      </w:r>
    </w:p>
    <w:p>
      <w:r>
        <w:rPr>
          <w:b/>
        </w:rPr>
        <w:t xml:space="preserve">Quelle: </w:t>
      </w:r>
      <w:r>
        <w:t>https://mcp.opencaselaw.ch/entscheid/bger_5A.11_2006</w:t>
      </w:r>
    </w:p>
    <w:p>
      <w:r>
        <w:t>FR: TF 5A.11/2006 du 27 juin 2006</w:t>
      </w:r>
    </w:p>
    <w:p>
      <w:r>
        <w:t>IT: TF 5A.11/2006 del 27 giugno 2006</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avec une pleine cognition la recevabilité des recours qui lui sont soumis ( ATF 131 I 153 consid. 1 p. 156; 131 II 58 consid. 1 p. 59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5A.26/2005 du 7 décembre 2005 consid. 1.1 et la jurisprudence citée; cf. aussi ATF 105 Ib 154 consid. 1 p. 156). Déposé en temps utile et dans les formes requises par une personne ayant manifestement qualité pour l'interjeter, le présent recours est dès lors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n'a pas été rendue par une autorité judiciaire, le Tribunal fédéral revoit d'office et librement les constatations de fait de l'autorité intimée ( art. 105 al. 1 OJ ), qui ne le lient pas ( art. 105 al. 2 OJ , a contrario).</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citoyenneté suisse ( ATF 128 II 97 consid. 3a p. 98; 121 II 49 consid. 2b p. 52 et les arrêts cités).</w:t>
      </w:r>
    </w:p>
    <w:p>
      <w:r>
        <w:rPr>
          <w:b/>
        </w:rPr>
        <w:t>E. 2.2</w:t>
      </w:r>
    </w:p>
    <w:p>
      <w:r>
        <w:t>Conformément aux art. 41 al. 1 LN et 14 al. 1 de l'ordonnance du 17 novembre 1999 sur l'organisation du DFJP (RS 172.213.1),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consid. 2 p. 484). Tel est le cas si, par exemple, le requérant déclare vivre en communauté stable avec son conjoint alors qu'il envisage de divorcer une fois obtenue la naturalisation facilitée; peu importe que son mariage se soit ou non déroulé jusqu'ici de manière harmonieuse (arrêts 5A.26/2005 du 7 décembre 2005 consid. 2.2; 5A.7/2003 du 28 août 2003 consid. 3). La nature potestative de la prescription énoncée à l' art. 41 al. 1 LN confère une certaine liberté d'appréciation à l'autorité administrative compétente. Dans l'exercice de cette liberté, l'autorité doit s'abstenir de tout excès ou abus.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(cf. ATF 130 III 176 consid. 1.2 p. 180 et les références).</w:t>
      </w:r>
    </w:p>
    <w:p>
      <w:r>
        <w:rPr>
          <w:b/>
        </w:rPr>
        <w:t>E. 2.3</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p. 485/486 et les références citées). Comme il s'agit d'une présomption de fait, qui relève simplement de l'appréciation des preuves (Henri Deschenaux, Le titre préliminaire du code civil, in Traité de droit civil suisse, t. II/1, Fribourg 1969, p. 249, avec les références)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w:t>
      </w:r>
    </w:p>
    <w:p>
      <w:r>
        <w:rPr>
          <w:b/>
        </w:rPr>
        <w:t>E. 3</w:t>
      </w:r>
    </w:p>
    <w:p>
      <w:r>
        <w:t>L'examen chronologique des faits pertinents a conduit le département intimé à présumer que le recourant avait conscience de l'instabilité de son couple lorsqu'il a déclaré, le 31 mars 2000, former avec son épouse une véritable communauté conjugale au sens de l' art. 27 LN .</w:t>
      </w:r>
    </w:p>
    <w:p>
      <w:r>
        <w:rPr>
          <w:b/>
        </w:rPr>
        <w:t>E. 3.1</w:t>
      </w:r>
    </w:p>
    <w:p>
      <w:r>
        <w:t>Pour le DFJP, cette conclusion résulte déjà du fait que les préparatifs du mariage se sont déroulés alors que la demande d'asile du recourant avait été rejetée en première instance. Anticipant la décision sur recours, l'intéressé a donc pris les devants afin de faire obstacle à un éventuel renvoi, prudente précaution puisque celui-ci a été confirmé le 6 juillet 1994. Un délai a été imparti au recourant pour quitter la Suisse le 12 juillet 1994; or il s'est marié le 29 juillet suivant, soit dix mois après avoir rencontré sa future épouse.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tel est précisément le cas ici puisque l'ex-épouse du recourant était de treize ans son aînée, situation tout à fait inhabituelle dans le milieu socioculturel dont il est issu; que son épouse turque actuelle ait douze ans de moins que lui confirme d'ailleurs cette appréciation. De plus, les conjoints ont introduit une procédure de divorce le 28 août 2000, à savoir cinq mois après la signature de leur déclaration commune du 31 mars 2000, et quatre mois à peine après l'obtention par le recourant, le 11 avril 2000, de la nationalité suisse. L'écoulement d'un laps de temps aussi court entre la déclaration commune et l'intention, traduite dans les faits, de se séparer confirme qu'en mars 2000, le couple n'envisageait déjà plus une vie future partagée.</w:t>
      </w:r>
    </w:p>
    <w:p>
      <w:r>
        <w:rPr>
          <w:b/>
        </w:rPr>
        <w:t>E. 3.2</w:t>
      </w:r>
    </w:p>
    <w:p>
      <w:r>
        <w:t>Selon le recourant, le seul fait qu'il se soit marié quelques semaines après avoir reçu la décision confirmant définitivement le rejet de sa demande d'asile et son renvoi de Suisse ne constitue pas un indice suffisant pour retenir qu'il a conclu un mariage fictif, d'autant que la décision des conjoints de se marier était bien antérieure à celle de l'autorité de recours; quant à la différence d'âge entre les époux, elle ne serait pas inhabituelle. Il expose en outre que, contrairement à ce qui ressort de l'état de fait d'arrêts topiques, il n'avait précédemment jamais été marié en Turquie et n'a entretenu aucune relation durant son mariage avec la jeune femme turque qu'il a épousée après son divorce. Ces arguments ne sont pas décisifs. S'il est exact que les préparatifs du mariage ont forcément dû se dérouler avant le rejet définitif de la demande d'asile, il n'en demeure pas moins que les intéressés ont pris la décision de se marier alors qu'une telle procédure était pendante. Certes, le fait qu'une ressortissante suisse et un ressortissant étranger contractent mariage afin notamment de permettre au conjoint étranger d'obtenir une autorisation de séjour ne signifie pas nécessairement qu'ils n'ont pas formé une véritable union conjugale au sens de l' art. 27 al. 1 let . c LN. Contrairement à ce que prétend le recourant, le fait que son épouse suisse fût de treize ans son aînée constitue toutefois un indice en ce sens, compte tenu du milieu socioculturel dont il est issu; il s'est du reste remarié - six mois seulement après son divorce - avec une jeune femme turque, cette fois-ci, de douze ans sa cadette. En outre, il ne s'est écoulé que cinq mois entre le moment où le recourant a signé la déclaration du 31 mars 2000 et celui du dépôt de la demande en divorce. Dans ces conditions, la rapidité avec laquelle les événements se sont enchaînés autorisait le département intimé à présumer que le recourant avait conscience de l'instabilité de son couple lorsqu'il a déclaré former une union effective et stable avec son épouse.</w:t>
      </w:r>
    </w:p>
    <w:p>
      <w:r>
        <w:rPr>
          <w:b/>
        </w:rPr>
        <w:t>E. 4</w:t>
      </w:r>
    </w:p>
    <w:p>
      <w:r>
        <w:t>Le DFJP a par ailleurs estimé que les ennuis de santé rencontrés fin 2000 par l'ex-épouse du recourant, qui avait subi une hystérectomie et s'était dès lors trouvée dans l'impossibilité d'enfanter, ne constituaient pas une contre-preuve suffisante, autorisant à penser que l'intéressé n'avait pas menti en déclarant former une union stable avec sa conjointe.</w:t>
      </w:r>
    </w:p>
    <w:p>
      <w:r>
        <w:rPr>
          <w:b/>
        </w:rPr>
        <w:t>E. 4.1</w:t>
      </w:r>
    </w:p>
    <w:p>
      <w:r>
        <w:t>Le département intimé a considéré que les explications données par l'intéressée, selon lesquelles elle aurait incité le recourant à accepter un divorce pour qu'il puisse avoir une descendance, n'apparaissaient pas convaincantes car, bien avant la désunion, elle n'était déjà pas favorable à l'idée d'avoir des enfants En épousant une personne nettement plus âgée que lui, le recourant ne pouvait en outre ignorer que cette question serait délicate et que l'écoulement du temps ne manquerait pas d'amenuiser une telle perspective. En mars 2000, après plus de cinq ans de mariage et alors que son épouse était âgée de 45 ans, il devait savoir que les chances pour leur couple d'avoir des enfants étaient considérablement réduites, voire nulles. L'intervention chirurgicale pratiquée fin 2000 ne constituait donc pas un événement imprévu, aux conséquences si extraordinaires qu'elles auraient provoqué une brusque rupture de la communauté conjugale; au demeurant, la volonté du couple de se séparer était apparue plusieurs mois avant l'hospitalisation de l'épouse.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Que les difficultés conjugales rencontrées par les intéressés aient abouti au dépôt d'une requête commune en divorce quatre mois à peine après la décision de naturalisation facilitée amène à la conclusion que leur communauté conjugale n'était sans doute déjà plus étroite et effective durant les mois précédents et, partant, au moment de la signature de la déclaration commune du 31 mars 2000. A cela s'ajoutait la précipitation avec laquelle le recourant s'était remarié, six mois après le prononcé du divorce, avec une jeune ressortissante turque.</w:t>
      </w:r>
    </w:p>
    <w:p>
      <w:r>
        <w:rPr>
          <w:b/>
        </w:rPr>
        <w:t>E. 4.2</w:t>
      </w:r>
    </w:p>
    <w:p>
      <w:r>
        <w:t>Le recourant soutient qu'il est erroné d'affirmer qu'il aurait invoqué les ennuis de santé de son ex-épouse et, conséquemment, l'impossibilité pour elle d'avoir désormais des enfants comme contre-preuve. Il prétend que si les conjoints ont choisi de divorcer, c'est en raison de la ferme intention de l'épouse de mettre un terme à leur union, intention dont elle ne l'a informé qu'après qu'il eût obtenu sa naturalisation. Ses problèmes gynécologiques, qu'elle connaissait de longue date et dont elle souffrait déjà lorsqu'elle a décidé de mettre un terme à leur mariage, ne seraient qu'un élément parmi d'autres ayant contribué à forger sa volonté de divorcer. S'agissant, comme dans le cas particulier, d'un couple sans enfant, qui ne dispose pas d'une fortune importante et dans lequel chaque conjoint est en mesure de contribuer à son propre entretien, lorsque l'un d'eux veut divorcer, l'autre accepte généralement rapidement; une requête commune en divorce est alors déposée dans un très court laps de temps, même si le mariage a duré plusieurs années. Quant à sa nouvelle union avec une ressortissante turque, elle aurait été arrangée par sa famille, ce qui expliquerait la rapidité de sa conclusion.</w:t>
      </w:r>
    </w:p>
    <w:p>
      <w:r>
        <w:rPr>
          <w:b/>
        </w:rPr>
        <w:t>E. 4.3</w:t>
      </w:r>
    </w:p>
    <w:p>
      <w:r>
        <w:t>Ces arguments ne parviennent pas à mettre en doute le fait que l'union des époux n'était plus effective et stable au moment de la signature de la déclaration commune du 31 mars 2000 ou de la décision de naturalisation du 11 avril 2000, que le recourant en avait conscience et qu'il a dissimulé cette réalité en sachant - à tout le moins en pouvant supposer - que l'administration ne lui accorderait pas la naturalisation facilitée s'il l'en informait. Le recourant n'avance en effet aucun élément qui expliquerait pourquoi la prétendue union stable formée avec son épouse a été rompue en quelques semaines, réfutant au contraire que les ennuis de santé de celle-ci aient pu jouer ce rôle. Il tente par ailleurs à tort de contester le bien-fondé de la règle, déduite de l'expérience générale de la vie, selon laquelle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Enfin, il importe peu que son remariage ait été arrangé par sa famille. Les conditions d'application de l' art. 41 LN sont ainsi remplies et l'on ne voit pas que l'administration ait abusé de son pouvoir d'appréciation (cf. supra consid. 2.2) en annulant la naturalisation facilitée du recourant.</w:t>
      </w:r>
    </w:p>
    <w:p>
      <w:r>
        <w:rPr>
          <w:b/>
        </w:rPr>
        <w:t>E. 5</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