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4P.9/2005 vom 10. Mai 2005</w:t>
      </w:r>
    </w:p>
    <w:p>
      <w:r>
        <w:t>Bundesgericht, 2005-05-10, FR</w:t>
      </w:r>
    </w:p>
    <w:p>
      <w:r>
        <w:rPr>
          <w:b/>
        </w:rPr>
        <w:t xml:space="preserve">Quelle: </w:t>
      </w:r>
      <w:r>
        <w:t>https://mcp.opencaselaw.ch/entscheid/bger_4P.9_2005</w:t>
      </w:r>
    </w:p>
    <w:p>
      <w:r>
        <w:t>FR: TF 4P.9/2005 du 10 mai 2005</w:t>
      </w:r>
    </w:p>
    <w:p>
      <w:r>
        <w:t>IT: TF 4P.9/2005 del 10 maggio 2005</w:t>
      </w:r>
    </w:p>
    <w:p>
      <w:pPr>
        <w:pStyle w:val="Heading2"/>
      </w:pPr>
      <w:r>
        <w:t>Regeste</w:t>
      </w:r>
    </w:p>
    <w:p>
      <w:r>
        <w:t>art. 9 Cst. (procédure civile; contrat d'entreprise) | Procédure civile</w:t>
      </w:r>
    </w:p>
    <w:p>
      <w:pPr>
        <w:pStyle w:val="Heading2"/>
      </w:pPr>
      <w:r>
        <w:t>Erwägungen</w:t>
      </w:r>
    </w:p>
    <w:p>
      <w:r>
        <w:rPr>
          <w:b/>
        </w:rPr>
        <w:t>E. 1.1</w:t>
      </w:r>
    </w:p>
    <w:p>
      <w:r>
        <w:t>Exercé en temps utile ( art. 89 al. 1 OJ ), dans la forme prévue par la loi ( art. 90 al. 1 OJ ), pour violation de droits constitutionnels des citoyens ( art. 84 al. 1 let. a OJ ), contre une décision finale prise en dernière instance cantonale ( art. 86 al. 1 OJ ), par les recourants qui sont personnellement touchés par la décision attaquée - qui les déboute de leurs conclusions condamnatoires -, de sorte que la qualité pour recourir doit leur être reconnue ( art. 88 OJ ), le présent recours de droit public est en principe recevable.</w:t>
      </w:r>
    </w:p>
    <w:p>
      <w:r>
        <w:rPr>
          <w:b/>
        </w:rPr>
        <w:t>E. 1.2</w:t>
      </w:r>
    </w:p>
    <w:p>
      <w:r>
        <w:t>Saisi d'un recours de droit public, le Tribunal fédéral n'examine que les griefs d'ordre constitutionnel invoqués et suffisamment motivés dans l'acte de recours ( art. 90 al. 1 let. b OJ ; ATF 130 I 258 consid. 1.3 p. 262; 129 I 113 consid. 2.1).</w:t>
      </w:r>
    </w:p>
    <w:p>
      <w:r>
        <w:rPr>
          <w:b/>
        </w:rPr>
        <w:t>E. 2</w:t>
      </w:r>
    </w:p>
    <w:p>
      <w:r>
        <w:t>Invoquant l' art. 9 Cst. , les recourants reprochent à la cour cantonale une constatation et une appréciation erronée des faits de la cause, constitutives d'arbitraire. En substance, ils considèrent que celle-ci a fait une interprétation insoutenable des différents rapports d'expertise et arbitrairement retenu qu'il n'était pas établi que le défaut de l'ouvrage était imputable à l'intimé.</w:t>
      </w:r>
    </w:p>
    <w:p>
      <w:r>
        <w:rPr>
          <w:b/>
        </w:rPr>
        <w:t>E. 2.1</w:t>
      </w:r>
    </w:p>
    <w:p>
      <w:r>
        <w:t>Selon la jurisprudence, 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même préférable ( ATF 129 I 8 consid. 2.1; 128 I 273 consid. 2.1).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127 I 38 consid. 2a p. 41). Concernant plus particulièrement l'appréciation du résultat d'une expertise, le juge n'est en principe pas lié par celui-ci. Mais s'il entend s'en écarter, il doit motiver sa décision et ne saurait, sans motifs déterminants, substituer son appréciation à celle de l'expert, sous peine de verser dans l'arbitraire. En d'autres termes, le juge, qui ne suit pas les conclusions de l'expert, n'enfreint pas l' art. 9 Cst. lorsque des circonstances bien établies viennent en ébranler sérieusement la crédibilité ( ATF 122 V 157 consid. 1c p. 160; 119 Ib 254 consid. 8a p. 274; plus récemment arrêt 4P.163/2004 du 16 novembre 2004, consid. 2.2). Si les conclusions d'une expertise judiciaire lui apparaissent douteuses sur des points essentiels, il doit recueillir des preuves complémentaires pour tenter de dissiper ses hésitations. A défaut, en se fondant sur une expertise non concluante, il pourrait commettre une appréciation arbitraire des preuves et violer l' art. 9 Cst. ( ATF 118 Ia 144 consid. 1c p. 146; plus récemment arrêt 4P.163/2004 du 16 novembre 2004, consid. 2.2). Lorsque l'autorité cantonale juge l'expertise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Il n'appartient pas au Tribunal fédéral de vérifier si toutes les affirmations de l'expert sont exemptes d'arbitraire; sa tâche se limite bien plutôt à examiner si l'autorité intimée pouvait, sans arbitraire, se rallier au résultat de l'expertise (arrêt 4P.263/2003 du 1er avril 2004, consid. 2.1; arrêt 4P.205/2003 du 22 décembre 2003, consid. 2.1).</w:t>
      </w:r>
    </w:p>
    <w:p>
      <w:r>
        <w:rPr>
          <w:b/>
        </w:rPr>
        <w:t>E. 2.2</w:t>
      </w:r>
    </w:p>
    <w:p>
      <w:r>
        <w:t>Les recourants soutiennent que, dans le rapport d'expertise hors procès, le partage des responsabilités est fixé à hauteur de 5 % pour l'architecte pour manquement au devoir de surveillance et de 95 % pour l'intimé. Ils omettent toutefois d'indiquer que l'expert hors procès a précisé que, dans l'éventualité où la cause des infiltrations d'air serait - après démontage du lambrissage et constat contradictoire - que, par malveillance, des voies d'air aient été pratiquées par des intervenants après la terminaison des travaux de l'intimé, les responsabilités seraient redistribuées. Par ailleurs, dans un rapport complémentaire, l'expert hors procès a certes confirmé les constatations du premier rapport, mais posé cependant deux hypothèses en relation avec les infiltrations d'air - dont le premier juge a relevé qu'elles n'étaient pas uniquement théoriques mais basées sur les procès-verbaux de chantier - : celles-ci seraient attribuables soit à un manque de soin dans la pose du coupe-vent, soit à des dommages causés à celui-ci par le passage d'autres maîtres d'état. Cette dernière hypothèse ne pouvait cependant être vérifiée qu'après des travaux de recherche et de démontage. Plus loin, l'expert hors procès a encore précisé que le partage de responsabilités qu'il avait proposé n'était justifié qu'à la condition qu'après les démontages des lambrissages préconisés dans son rapport principal, les irrégularités soient définitivement constatées comme le fait de l'intimé et que, dans le cas contraire, suite aux observations recueillies, il conviendrait de modifier la clé de répartition. Les recourants plaident en outre que l'expert judiciaire a réparti la responsabilité entre l'architecte, l'installateur de chauffage et l'intimé à raison d'un tiers chacun, étant souligné que le complément d'expertise judiciaire a permis de mettre hors de cause les installations de chauffage, de sorte que la part de responsabilité du chauffagiste devrait être "redistribuée" - étant rappelé que, selon l'expert, l'intimé doit supporter une part prépondérante de responsabilité - ce qui porterait la part de l'intimé au minimum à 50 %. Les recourants méconnaissent toutefois que - ainsi que les deux instances cantonales l'ont retenu -, l'expert judiciaire a notamment indiqué que la répartition à raison d'un tiers ne se basait pas sur un constat concret mais sur une moyenne issue de données théoriques. En outre, l'expert judiciaire a relevé que les défauts par perforation des "barrières à l'air" pouvaient aussi être causés par les autres entreprises qui avaient travaillé sur place, mais que la chose était difficile à déterminer. Le complément d'expertise judiciaire fait par ailleurs état de ce que de fréquents dégâts ont été constatés sur des pare-vapeur correctement posés mais percés par la suite par d'autres maîtres d'état, les électriciens en particulier qui le perforent pour faire passer leurs gaines. Il découle de ce qui précède que l'argumentation des recourants, qui se limitent de façon tendancieuse à présenter des extraits des différents rapports d'expertise sortis de leur contexte, n'est pas propre à démontrer en quoi la cour cantonale aurait procédé à une appréciation arbitraire des preuves, en l'occurrence des différents rapports d'expertise, en considérant que ceux-ci ne lui permettaient pas de retenir l'existence d'un défaut imputable à l'intimé - compte tenu du fait que tant l'expert hors procès que l'expert judiciaire avaient émis deux hypothèses entre lesquelles il ne pouvait être tranché sans qu'il soit procédé à la dépose complète du lambrissage, mesure qui n'avait pas été effectuée et que les recourants n'avaient pas requise. Par conséquent, le recours ne peut qu'être rejeté.</w:t>
      </w:r>
    </w:p>
    <w:p>
      <w:r>
        <w:rPr>
          <w:b/>
        </w:rPr>
        <w:t>E. 3</w:t>
      </w:r>
    </w:p>
    <w:p>
      <w:r>
        <w:t>Compte tenu de l'issue du litige, les frais et dépens seront mis à la charge des recourants, solidairement entre eux (art. 156 al. 1 et 7, ainsi que 159 al. 1 et 5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