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4P.9/2000 vom 17. April 2000</w:t>
      </w:r>
    </w:p>
    <w:p>
      <w:r>
        <w:t>Bundesgericht, 2000-04-17, IT</w:t>
      </w:r>
    </w:p>
    <w:p>
      <w:r>
        <w:rPr>
          <w:b/>
        </w:rPr>
        <w:t xml:space="preserve">Quelle: </w:t>
      </w:r>
      <w:r>
        <w:t>https://mcp.opencaselaw.ch/entscheid/bger_4P.9_2000</w:t>
      </w:r>
    </w:p>
    <w:p>
      <w:r>
        <w:t>FR: TF 4P.9/2000 du 17 avril 2000</w:t>
      </w:r>
    </w:p>
    <w:p>
      <w:r>
        <w:t>IT: TF 4P.9/2000 del 17 aprile 2000</w:t>
      </w:r>
    </w:p>
    <w:p>
      <w:pPr>
        <w:pStyle w:val="Heading2"/>
      </w:pPr>
      <w:r>
        <w:t>Regeste</w:t>
      </w:r>
    </w:p>
    <w:p>
      <w:r>
        <w:t>Procedura civile</w:t>
      </w:r>
    </w:p>
    <w:p>
      <w:pPr>
        <w:pStyle w:val="Heading2"/>
      </w:pPr>
      <w:r>
        <w:t>Erwägungen</w:t>
      </w:r>
    </w:p>
    <w:p>
      <w:r>
        <w:rPr>
          <w:b/>
        </w:rPr>
        <w:t>E. 1</w:t>
      </w:r>
    </w:p>
    <w:p>
      <w:r>
        <w:t>Giusta l' art. 57 cpv. 5 OG un ricorso di diritto pubblico viene trattato, in linea di principio, prima del parallelo ricorso per riforma ( DTF 122 I 81 consid. 1; Messmer/Imboden, Die eidgenössischen Rechtsmittel in Zivilsachen, Zurigo 1992, pag. 148 nota 12). Nel caso in esame non v'è motivo di derogare alla regola.</w:t>
      </w:r>
    </w:p>
    <w:p>
      <w:r>
        <w:rPr>
          <w:b/>
        </w:rPr>
        <w:t>E. 2</w:t>
      </w:r>
    </w:p>
    <w:p>
      <w:r>
        <w:t>Nella risposta al ricorso viene proposta la reiezione in ordine del gravame in quanto tardivo. Il resistente contesta infatti che la decisione impugnata sia pervenuta al ricorrente il 7 dicembre 1999, così come egli asserisce; sennonché ciò corrisponde a quanto indicato nella dichiarazione di ricevuta versata agli atti. In queste circostanze il termine di ricorso di trenta giorni fissato dall' art. 89 cpv. 1 OG risulta ossequiato.</w:t>
      </w:r>
    </w:p>
    <w:p>
      <w:r>
        <w:rPr>
          <w:b/>
        </w:rPr>
        <w:t>E. 3</w:t>
      </w:r>
    </w:p>
    <w:p>
      <w:r>
        <w:t>Esaminate le varie emergenze istruttorie, la Corte cantonale ha stabilito che all'epoca della conclusione del contratto di cessione dell'uso del nome Biancardi Edo Molteni ignorava l'esistenza del divieto di concorrenza a carico di Michele Gaetano Biancardi. Ammettendo ch'egli non avrebbe sottoscritto l'accordo qualora fosse stato a conoscenza del divieto, l'autorità ticinese ha dunque concluso - diversamente dal primo giudice - per l'inefficacia dello stesso siccome viziato da errore essenziale ai sensi dell' art. 24 cpv. 1 n. 4 CO . Donde la riforma del giudizio di primo grado e l'accoglimento della petizione.</w:t>
      </w:r>
    </w:p>
    <w:p>
      <w:r>
        <w:rPr>
          <w:b/>
        </w:rPr>
        <w:t>E. 4</w:t>
      </w:r>
    </w:p>
    <w:p>
      <w:r>
        <w:t>Richiamandosi all'art. 8 nCost. il ricorrente si duole della violazione del divieto dell'arbitrio con riferimento all'accertamento dei fatti, all'apprezzamento delle prove e all'applicazione del diritto processuale cantonale. a) Va innanzitutto rilevato che il disposto citato tratta in verità dell'uguaglianza giuridica mentre è nell'art. 9 nCost. che si ritrova la protezione dall'arbitrio. Sia come sia, la costituzionalità del giudizio impugnato va esaminata dal profilo dell' art. 4 vCost. , dato ch'esso è stato emanato prima del 1° gennaio 2000; prima, quindi, dell'entrata in vigore della nuova Costituzione. b) Giusta l' art. 90 cpv. 1 lett. b OG , il ricorso di diritto pubblico deve contenere l'esposizione dei fatti essenziali e quella concisa dei diritti costituzionali o delle norme giuridiche che si pretendono violati, precisando altresì in che consista tale violazione. Ciò significa che l'allegato ricorsuale deve sempre contenere un'esauriente motivazione giuridica dalla quale si possa dedurre che, ed in quale misura, la decisione impugnata colpisce il ricorrente nei suoi diritti costituzionali ( DTF 122 I 70 consid. 1c con rinvii). Discende da questi principi l'inammissibilità del gravame in punto alla censura relativa all'arbitraria applicazione del diritto processuale ticinese, evocata solo in ingresso all'allegato e poi non sostanziata. c) Per quanto concerne l'accertamento dei fatti e l'apprezzamento delle prove, occorre rammentare l'ampio margine di apprezzamento di cui dispone il giudice cantonale del merito in questo ambito ( DTF 118 Ia 144 consid. 1a). Il Tribunale federale annulla pertanto la sentenza emanata da quest'ultimo solo qualora egli abbia abusato di tale potere, pronunciando una decisione che appare - e ciò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 DTF 124 I 208 consid. 4a). Spetta al ricorrente dimostrare, con un'argomentazione chiara e precisa ( art. 90 cpv. 1 lett. b OG ), che tali condizioni sono realizzate nel caso concreto ( DTF 122 I 70 consid. 1c), tenendo ben presente che l'arbitrio non si realizza già qualora la soluzione proposta con il ricorso possa apparire sostenibile o addirittura migliore rispetto a quella contestata. Per richiamarsi con successo all'arbitrio, il ricorrente non può dunque accontentarsi di contrapporre il suo parere a quello dell'autorità cantonale, come se il Tribunale federale fosse una superiore giurisdizione di appello a cui compete di rivedere liberamente il fatto e il diritto: egli deve esporre chiaramente le ragioni che portano a ritenere manifestamente insostenibile la conclusione raggiunta nella decisione impugnata ( DTF 125 I 166 consid. 2a, 124 I 247 consid. 5). In concreto il ricorrente rimprovera in particolare alla Corte cantonale di aver erroneamente ammesso la tesi del resistente, secondo la quale egli avrebbe appreso della clausola di divieto di concorrenza solo dopo il 20 marzo 1998, nel quadro della procedura provvisionale avviata dalla Michele Biancardi S.A. La sua censura non risulta però motivata conformemente ai principi appena esposti. Egli si limita infatti a ripetere, genericamente, che tale conclusione sarebbe in contrasto con le tavole processuali senza però indicare con precisione quali, eccezion fatta per un passaggio della testimonianza del notaio che ha rogato l'atto di costituzione della nuova società, le cui dichiarazioni risultano comunque contraddette da quelle del revisore della stessa, che il ricorrente omette di menzionare. Giovi abbondanzialmente osservare che, quand'anche debitamente formulata, la censura andrebbe in ogni caso respinta poiché l'apprezzamento delle varie testimonianze da parte dell'autorità cantonale - cui si può rinviare giusta l' art. 36a cpv. 3 OG - appare pertinente e non certo manifestamente insostenibile.</w:t>
      </w:r>
    </w:p>
    <w:p>
      <w:r>
        <w:rPr>
          <w:b/>
        </w:rPr>
        <w:t>E. 5</w:t>
      </w:r>
    </w:p>
    <w:p>
      <w:r>
        <w:t>Non meritano, infine, di essere trattate - siccome prive d'influsso sull'esito della presente vertenza - le varie asserzioni in merito alle informazioni rilasciate dal notaio sui problemi che sarebbero potuti insorgere mediante l'uso del nome Biancardi nella ditta, non avendo la Corte cantonale fondato il proprio giudizio su tale circostanza.</w:t>
      </w:r>
    </w:p>
    <w:p>
      <w:r>
        <w:rPr>
          <w:b/>
        </w:rPr>
        <w:t>E. 6</w:t>
      </w:r>
    </w:p>
    <w:p>
      <w:r>
        <w:t>In conclusione, il ricorso di diritto pubblico va dichiarato integralmente inammissibile per carente motivazione. Gli oneri processuali e le spese ripetibili seguono la soccombenza (art. 156 cpv. 1 e 159 cpv. 1 e 2 OG). Per questi motivi, visto l' art. 36a OG , il Tribunale federale pronuncia : 1. Il ricorso di diritto pubblico è inammissibile. 2. La tassa di giustizia di fr. 6000.-- è posta a carico del ricorrente, il quale rifonderà al resistente fr. 7000.-- per spese ripetibili della sede federale. 3. Comunicazione ai patrocinatori delle parti e alla II Camera civile del Tribunale d'appello del Cantone Ticino. Losanna, 17 aprile 2000 VIZ In nome della I Corte civile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