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4P.98/2005 vom 10. November 2005</w:t>
      </w:r>
    </w:p>
    <w:p>
      <w:r>
        <w:t>Bundesgericht, 2005-11-10, FR</w:t>
      </w:r>
    </w:p>
    <w:p>
      <w:r>
        <w:rPr>
          <w:b/>
        </w:rPr>
        <w:t xml:space="preserve">Quelle: </w:t>
      </w:r>
      <w:r>
        <w:t>https://mcp.opencaselaw.ch/entscheid/bger_4P.98_2005</w:t>
      </w:r>
    </w:p>
    <w:p>
      <w:r>
        <w:t>FR: TF 4P.98/2005 du 10 novembre 2005</w:t>
      </w:r>
    </w:p>
    <w:p>
      <w:r>
        <w:t>IT: TF 4P.98/2005 del 10 novembre 2005</w:t>
      </w:r>
    </w:p>
    <w:p>
      <w:pPr>
        <w:pStyle w:val="Heading2"/>
      </w:pPr>
      <w:r>
        <w:t>Erwägungen</w:t>
      </w:r>
    </w:p>
    <w:p>
      <w:r>
        <w:rPr>
          <w:b/>
        </w:rPr>
        <w:t>E. 1</w:t>
      </w:r>
    </w:p>
    <w:p>
      <w:r>
        <w:t>Dirigé contre une sentence arbitrale finale, rendue dans le cadre d'un arbitrage international dont le siège se trouve en Suisse et opposant des parties qui n'ont pas de domicile ou de résidence habituelle en Suisse ( art. 176 ss LDIP ), le présent recours de droit public au sens de l' art. 85 let . c OJ, dans lequel sont invoqués des griefs énoncés par l' art. 190 al. 2 LDIP , est recevable au regard de ces différentes exigences. Il a en outre été exercé dans la forme prescrite par la loi ( art. 90 al. 1 OJ ) et en temps utile compte tenu des féries (art. 34 al. 1 let. a et 89 al. 1 OJ), même si l'on fait partir le délai dès la notification de la sentence auprès de l'avocat de la recourante. Il n'y a donc pas lieu de se demander si le délai de recours ne devait pas commencer à courir à partir de la notification ultérieure de la sentence au Ministre de la justice de la République concernée.</w:t>
      </w:r>
    </w:p>
    <w:p>
      <w:r>
        <w:t>La partie recourante est personnellement touchée par la sentence entreprise, qui la condamne à paiement. Elle a donc un intérêt personnel, actuel et juridiquement protégé à ce que cette décision n'ait pas été adoptée en violation de l' art. 190 LDIP , de sorte que la qualité pour recourir ( art. 88 OJ ) doit lui être reconnue.</w:t>
      </w:r>
    </w:p>
    <w:p>
      <w:r>
        <w:t>Le recours paraît donc recevable à la forme, ce qui ne signifie pas pour autant que les griefs soulevés le soient également d'un point de vue matériel.</w:t>
      </w:r>
    </w:p>
    <w:p>
      <w:r>
        <w:rPr>
          <w:b/>
        </w:rPr>
        <w:t>E. 2</w:t>
      </w:r>
    </w:p>
    <w:p>
      <w:r>
        <w:t>La Cour de céans a été saisie de deux recours de droit public, l'un contre la sentence de base, qui fait l'objet de la présente procédure, l'autre contre la sentence rectificative.</w:t>
      </w:r>
    </w:p>
    <w:p>
      <w:r>
        <w:t>La procédure de rectification n'a pas pour but d'offrir aux parties une autre possibilité d'attaquer la sentence d'origine (cf. ATF 131 III 164 consid. 1.2.3 et 1.2.4). C'est donc à juste titre que la recourante a fait valoir les griefs dirigés contre la sentence de base dans un recours de droit public distinct, déposé parallèlement à sa demande de rectification.</w:t>
      </w:r>
    </w:p>
    <w:p>
      <w:r>
        <w:t>Par ailleurs, la sentence rectificative a un caractère accessoire par rapport à la sentence de base; elle en fait partie intégrante et suit le régime juridique de la sentence originale (cf. ATF 131 III 164 consid. 1.1 p. 167 et 1.2.1). Il s'impose donc de commencer par examiner le recours de droit public dirigé contre cette dernière, car, si celui-ci devait être admis et la sentence de base annulée, la sentence rectificative deviendrait ipso facto caduque (cf. ATF 131 III 164 consid. 1.2.4 p. 170; 130 III 755 consid. 1.3 p. 763).</w:t>
      </w:r>
    </w:p>
    <w:p>
      <w:r>
        <w:t>Enfin, il n'y a pas lieu de se demander s'il faut tenir compte, lors de l'examen du présent recours, des modifications introduites dans le cadre de la procédure de rectification, dès lors qu'en l'espèce, la sentence rectificative du 7 avril 2005 n'a pas eu pour effet de modifier le dispositif de la sentence de base.</w:t>
      </w:r>
    </w:p>
    <w:p>
      <w:r>
        <w:rPr>
          <w:b/>
        </w:rPr>
        <w:t>E. 3</w:t>
      </w:r>
    </w:p>
    <w:p>
      <w:r>
        <w:t>A la suite de la réponse des intimées, la recourante a requis un nouvel échange d'écritures en application de l' art. 93 al. 3 OJ .</w:t>
      </w:r>
    </w:p>
    <w:p>
      <w:r>
        <w:t>Selon cette disposition, un échange ultérieur d'écritures n'a lieu qu'exceptionnellement. Le Tribunal fédéral s'en tient strictement à cette règle et n'ordonne une réplique et une duplique que si celles-ci lui paraissent vraiment indispensables pour résoudre le cas en respectant le droit d'être entendu (Corboz, Le recours au Tribunal fédéral en matière d'arbitrage international, in SJ 2002 II p. 1 ss, 15 let. H; consid. 1.4 non publié de l' ATF 130 III 755 ). Cette position est liée au fait que les griefs soulevés doivent être présentés au Tribunal fédéral dans le délai de 30 jours de l' art. 89 al. 1 OJ ; un complément ultérieur au recours n'est ainsi admissible que si les observations du tribunal arbitral ou de la partie intimée le justifient (cf. arrêt du Tribunal fédéral 4P.226/2004 du 9 mars 2005, consid. 1.1; ATF 122 I 70 consid. 1c p. 74).</w:t>
      </w:r>
    </w:p>
    <w:p>
      <w:r>
        <w:t>Il n'y a pas de raison de s'écarter de la règle en l'espèce. La recourante n'invoque aucun élément qui révélerait la nécessité d'ordonner un second échange d'écritures sous peine de violer son droit d'être entendu. Ainsi, la valeur litigieuse considérable ou l'importance politique de l'affaire du point de vue de la recourante ne sont pas pertinentes. Quant aux faits qui auraient été avancés dans le mémoire de réponse, la recourante se contente d'affirmer qu'ils seraient, sur plusieurs points, inexacts, mais sans autre précision, de sorte que l'on ne parvient pas à savoir si la recourante n'aurait pas pu elle-même se prononcer sur ces questions dans son recours. Enfin, la recourante fait état de faits nouveaux allégués par les intimées, ainsi que d'une pièce nouvelle. Cet élément ne justifie pas un second échange d'écritures, dès lors que, dans le cadre d'une procédure sur recours de droit public, les faits nouveaux ne sont en principe pas recevables ( ATF 129 I 49 consid. 3; arrêt du Tribunal fédéral 4P.226/2004 précité consid. 1.2). Il ne sera donc pas donné suite à la requête de la recourante reposant sur l' art. 93 al. 3 OJ .</w:t>
      </w:r>
    </w:p>
    <w:p>
      <w:r>
        <w:rPr>
          <w:b/>
        </w:rPr>
        <w:t>E. 4</w:t>
      </w:r>
    </w:p>
    <w:p>
      <w:r>
        <w:t>Invoquant l' art. 190 al. 2 let. b LDIP , la recourante reproche en premier lieu au Tribunal arbitral de s'être déclaré à tort compétent pour statuer sur les prétentions qu'elle avait émises en relation avec le mandat de recouvrement du 23 juin 2000.</w:t>
      </w:r>
    </w:p>
    <w:p>
      <w:r>
        <w:t>Les intimées considèrent ce grief comme irrecevable, car la recourante aurait valablement renoncé à tout recours portant sur la compétence du Tribunal arbitral à l'art. 14.4 de l'accord MTD. Cette objection mérite d'être examinée en premier lieu, puisque la recevabilité des griefs soulevés par la recourante en relation avec l'art. 190 al, 2 let. b LDIP en dépend.</w:t>
      </w:r>
    </w:p>
    <w:p>
      <w:r>
        <w:rPr>
          <w:b/>
        </w:rPr>
        <w:t>E. 4.1</w:t>
      </w:r>
    </w:p>
    <w:p>
      <w:r>
        <w:t>L' art. 192 al. 1 LDIP prévoit que, si deux parties n'ont ni domicile, ni résidence habituelle, ni établissement en Suisse, elles peuvent, par une déclaration expresse dans la convention d'arbitrage ou un accord écrit ultérieur, exclure tout recours contre les sentences du tribunal arbitral; elles peuvent aussi n'exclure le recours que pour l'un ou l'autre des motifs énumérés à l' art. 190 al. 2 LDIP .</w:t>
      </w:r>
    </w:p>
    <w:p>
      <w:r>
        <w:t>Dans un arrêt récent, la Cour de céans a procédé à un survol de la jurisprudence fédérale sur la question de la renonciation du recours en matière d'arbitrage, auquel il peut être renvoyé (cf. ATF 131 III 173 consid. 4.2.1). Il en ressort en substance que la pratique n'admet que de manière restrictive les conventions d'exclusion, ce qu'approuve la doctrine ( ATF 131 III 173 consid. 4.2.2 et les nombreux auteurs cités). Le Tribunal fédéral a précisé que l' art. 192 LDIP n'exige cependant pas que, pour être valable, la renonciation comporte la mention expresse, dans la clause d'arbitrage, de l' art. 190 LDIP et/ou de l' art. 192 LDIP . Une telle référence est cependant recommandable, puisqu'elle permet d'identifier à coup sûr le moyen de droit auquel il est renoncé ( ATF 131 III 173 consid. 4.2.3.1). La référence à la déclaration expresse dont il est question à l' art. 192 al. 1 LDIP doit faire ressortir de manière claire et nette la volonté commune des parties de renoncer à attaquer les sentences du tribunal arbitral par le moyen de droit prévu à l' art. 190 al. 2 LDIP . Or, il n'est pas indispensable, pour établir semblable volonté, que les parties aient cité telle ou telle disposition, ni qu'elles aient utilisé telle ou telle expression; il est nécessaire, mais suffisant, que la déclaration expresse des parties manifeste, sans conteste, leur commune volonté de renoncer à tout recours. Savoir si tel est bien le cas est affaire d'interprétation et le restera toujours, de sorte qu'il est exclu de poser à cet égard des règles applicables à toutes les situations envisageables ( ATF 131 III 173 consid. 4.2.3.1 p. 178 et les références citées).</w:t>
      </w:r>
    </w:p>
    <w:p>
      <w:r>
        <w:t>En revanche, si les parties ne souhaitent exclure le recours que pour l'un ou l'autre des motifs énumérés à l' art. 190 al. 2 LDIP - ce qui est possible (cf. art. 192 al. 1 in fine LDIP) -, on ne voit pas qu'elles puissent le faire sans mentionner expressément le ou les motifs exclus dans la clause arbitrale, que ce soit par l'indication de la ou des lettres correspondantes de l' art. 190 al. 2 LDIP , la reprise du texte légal ou toute autre formulation permettant d'identifier à coup sûr le motif exclu ( ATF 131 III 173 consid. 4.2.3.1 p. 178 s.).</w:t>
      </w:r>
    </w:p>
    <w:p>
      <w:r>
        <w:rPr>
          <w:b/>
        </w:rPr>
        <w:t>E. 4.2</w:t>
      </w:r>
    </w:p>
    <w:p>
      <w:r>
        <w:t>Il convient, à l'aune de ces principes, d'examiner si les parties ont ou non valablement renoncé à recourir au sujet de la compétence du Tribunal arbitral au sens de l' art. 190 al. 2 let. b LDIP .</w:t>
      </w:r>
    </w:p>
    <w:p>
      <w:r>
        <w:t>L'art. 14.4 de l'accord MTD stipule que :</w:t>
      </w:r>
    </w:p>
    <w:p>
      <w:r>
        <w:t>"The Parties undertake that they will not challenge the jurisdiction of the UNCITRAL Tribunal whether before the UNCITRAL Tribunal itself or before any national courts. For the avoidance of doubt, the Parties and Y.________ do not hereby waive their right to challenge any award in the UNCITRAL Arbitration in the place where the award is made or to resist enforcement thereof in the country or countries where enforcement is sought on the grounds contained in the applicable arbitration laws of those countries, save that the Parties will not do so on the ground that the UNCITRAL Tribunal lacked jurisdiction to consider one or more of the issues before it."</w:t>
      </w:r>
    </w:p>
    <w:p>
      <w:r>
        <w:t>Il ressort de cette clause, en particulier des passages mis en italique par la Cour de céans, que les parties se sont engagées à ne pas contester la compétence du Tribunal arbitral devant les tribunaux étatiques. Afin de lever toute ambiguïté, il a encore été précisé que les parties ne renonçaient pas, de manière générale, à recourir contre une éventuelle sentence rendue dans le cadre de l'arbitrage CNUDCI, excepté s'agissant de la compétence. Le texte de l'art. 14.4 de l'accord MTD est donc parfaitement clair et rien ne permet d'en conclure qu'il ne correspondrait pas à la volonté des parties. Le fait que l' art. 190 al. 2 let. b LDIP ne soit pas mentionné n'est pas déterminant, dès lors que la clause exprime clairement la volonté des parties de renoncer à recourir pour le motif expressément désigné par cette disposition, à savoir la compétence (cf. supra consid. 4.1 in fine).</w:t>
      </w:r>
    </w:p>
    <w:p>
      <w:r>
        <w:t>L'argumentation de la recourante contestant la portée de l'art. 14.4 de l'accord MTD n'est pas convaincante. Elle commence par démontrer qu'un recours contre la sentence arbitrale n'a pas été exclu de manière générale, ce qui n'est pas contesté. Puis, elle s'en prend plus précisément à l'exclusion du recours portant sur la compétence du tribunal arbitral, en présentant une interprétation de l'art. 14.4 de l'accord MTD qui ne peut être suivie. Lorsqu'elle affirme que cette clause doit se limiter aux cas où une partie cherche à se soustraire à l'arbitrage ou à retarder l'issue de la procédure, elle s'écarte sans raison de son texte, qui indique clairement que les parties se sont engagées à ne pas contester la compétence du tribunal arbitral, quels qu'en soient les motifs. La recourante ne peut davantage être suivie lorsqu'elle soutient que les parties ne pouvaient imaginer que le tribunal arbitral se déclarerait compétent pour se prononcer sur les prétentions émises en relation avec le mandat de recouvrement, de sorte que l'exclusion du recours ne saurait porter sur cet aspect. En effet, en concluant l'accord MTD le 14 décembre 2002, les parties ont consolidé les deux procédures d'arbitrage et convenu de soumettre l'ensemble de leurs différends au tribunal arbitral CNUDCI, dont les 300 millions US$, objet du mandat de recouvrement, faisaient partie. Enfin, ni le Tribunal arbitral ni les intimées n'avaient de raison d'invoquer l'art. 14.4 de l'accord MTD dans le cadre de la procédure arbitrale, de sorte que la recourante ne peut rien tirer de l'absence de référence à cette disposition.</w:t>
      </w:r>
    </w:p>
    <w:p>
      <w:r>
        <w:t>Force est donc de constater que les parties ont valablement exclu de recourir contre la sentence du tribunal arbitral en ce qui concerne la compétence de cette autorité. Dans la mesure où la recourante, sous le couvert de l' art. 190 al. 2 let. b LDIP , conteste que le tribunal arbitral ait été compétent pour statuer sur les prétentions découlant de l'ordre de recouvrement, son recours est irrecevable.</w:t>
      </w:r>
    </w:p>
    <w:p>
      <w:r>
        <w:rPr>
          <w:b/>
        </w:rPr>
        <w:t>E. 5</w:t>
      </w:r>
    </w:p>
    <w:p>
      <w:r>
        <w:t>La recourante se plaint également d'une violation de l'ordre public au sens de l' art. 190 al. 2 let . e LDIP.</w:t>
      </w:r>
    </w:p>
    <w:p>
      <w:r>
        <w:rPr>
          <w:b/>
        </w:rPr>
        <w:t>E. 5.1</w:t>
      </w:r>
    </w:p>
    <w:p>
      <w:r>
        <w:t>Elle reproche premièrement au Tribunal arbitral d'avoir statué sans tenir compte de l'autorité de la chose jugée dont était dotée la décision relative à l'ordre de recouvrement.</w:t>
      </w:r>
    </w:p>
    <w:p>
      <w:r>
        <w:t>Il est vrai que le tribunal arbitral viole l'ordre public procédural s'il statue sans tenir compte de l'autorité de la chose jugée d'une décision antérieure ( ATF 128 III 191 consid. 4a p. 194 et les références citées). Une décision judiciaire est dotée de l'autorité de la chose jugée lorsqu'elle est obligatoire, c'est-à-dire qu'elle ne peut plus être remise en discussion ni par les parties, ni par les tribunaux (Hohl, Procédure civile, Tome I, Berne 2001, p. 244 no 1289). L'autorité de la chose jugée ne concerne que le dispositif du jugement, mais ne s'étend pas aux motifs; ces derniers peuvent seulement servir à interpréter le dispositif, afin d'en saisir la nature et la portée exacte (cf. ATF 125 III 8 consid. 3b p. 13; 123 III 16 consid. 2a; 116 II 738 consid. 2a p. 743 s.).</w:t>
      </w:r>
    </w:p>
    <w:p>
      <w:r>
        <w:t>En l'espèce, on ne voit pas qu'en statuant sur la prétention qu'a fait valoir la recourante dans l'ordre de recouvrement du 22 juin 2000 le tribunal arbitral ait violé l'autorité de la chose jugée. Comme le relèvent les intimées, on peut se demander si l'ordre de recouvrement émis par les autorités administratives de la recourante est véritablement doté de l'autorité de la chose jugée ou décidée s'agissant apparemment d'une décision prise en première instance (cf. Moor, Droit administratif, volume II, 2e éd. Berne 2002, no 2.4.1 p. 323; Häfelin/Müller, Allgemeines Verwaltungsrecht, 4e éd. Zurich 2002, no 994 p. 203 s.). Il n'y a cependant pas lieu d'entrer plus avant sur cette problématique. D'une part, la procédure arbitrale ne porte pas sur l'ordre de recouvrement lui-même, mais sur les prétentions de la recourante à l'origine de cet acte. Ce n'est pas parce que la recourante a fait émettre, le 23 juin 2000, un ordre de recouvrement portant sur 300 millions US$, correspondant à une "première évaluation" du préjudice qu'elle aurait subi en raison des manquements contractuels reprochés aux intimées, que l'on peut en déduire que le bien-fondé de cette prétention serait lui-même couvert par l'autorité de la chose jugée ou décidée que pourrait revêtir l'ordre de recouvrement. D'autre part et surtout, la défenderesse perd de vue qu'elle a elle-même admis de suspendre l'exécution du mandat de recouvrement, voire de modifier son montant en fonction de la sentence du tribunal arbitral, comme en atteste l'art. 14.5 de l'accord MTD. Cette disposition prévoit en effet que :"Without prejudice of its rights, the Republic of X.________ agrees to suspend the enforcement of the Collection Order until the Final Award is rendered. The amount of the Collection Order shall be adjusted or the Collection Order withdrawn on the basis of the Final Award". Dans cette mesure, la critique de la recourante confine même à la témérité, car elle revient, pour cette partie, à se prévaloir du bénéfice de l'autorité de la chose jugée d'une décision dont elle-même a réservé la modification en fonction du résultat de la procédure arbitrale.</w:t>
      </w:r>
    </w:p>
    <w:p>
      <w:r>
        <w:rPr>
          <w:b/>
        </w:rPr>
        <w:t>E. 5.2</w:t>
      </w:r>
    </w:p>
    <w:p>
      <w:r>
        <w:t>En second lieu et toujours sous le couvert de l' art. 190 al. 2 let . e LDIP, la recourante fait valoir une violation du principe pacta sunt servanda.</w:t>
      </w:r>
    </w:p>
    <w:p>
      <w:r>
        <w:rPr>
          <w:b/>
        </w:rPr>
        <w:t>E. 5.2.1</w:t>
      </w:r>
    </w:p>
    <w:p>
      <w:r>
        <w:t>Selon la jurisprudence, une sentence est contraire à l'ordre public, lorsqu'elle viole des principes juridiques fondamentaux au point de ne plus être conciliable avec l'ordre juridique et le système de valeur déterminants. Au nombre de ces principes figure notamment la fidélité contractuelle ("pacta sunt servanda") ( ATF 128 III 191 consid. 6b p. 198; 120 II 155 consid. 6a p. 166 et les références citées).</w:t>
      </w:r>
    </w:p>
    <w:p>
      <w:r>
        <w:t>Pour qu'il y ait atteinte au principe de la fidélité contractuelle contraire à l'ordre public, il faut que l'arbitre refuse d'appliquer une clause contractuelle tout en admettant qu'elle lie les parties ou, à l'inverse, qu'il leur impose le respect d'une clause dont il considère qu'elle ne les lie pas (arrêt du Tribunal fédéral 4P.71/2002 du 22 octobre 2002, in Bulletin ASA 2003 p. 376 ss, consid. 3.2 et les références citées; cf. plus récemment, arrêt 4P.104/2004 du 18 octobre 2004 consid. 6.3). En d'autres termes, le tribunal arbitral doit appliquer ou refuser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(arrêts du Tribunal fédéral 4P.12/2000 du 14 juin 2000 consid. 4a/cc et 4P.62/1999 du 26 mai 1999 consid. 1a/bb et les arrêts cités). La Cour de céans, confirmant la position de Schweizer (cf. Schweizer, in Revue suisse de droit international et européen [RSDIE] 1998 p. 566), a souligné à plusieurs reprises qu'il découle de ces principes que la quasi-totalité du contentieux dérivé de la violation du contrat est exclue du champ de protection du principe de la fidélité contractuelle, envisagée sous l'angle de l'ordre public auquel se réfère l' art. 190 al. 2 let . e LDIP (arrêts précités 4P.12/2000, consid. 4a/cc in fine, et 4P.62/1999 consid. 1a/bb in fine).</w:t>
      </w:r>
    </w:p>
    <w:p>
      <w:r>
        <w:t>Il convient encore de préciser que, dans le cadre de l'examen d'une violation de l'ordre public au sens de l' art. 190 al. 2 let . e LDIP, le Tribunal fédéral n'a pas à rechercher si l'arbitre a interprété correctement une clause contractuelle, qu'il s'agisse de déterminer la volonté réelle ou la volonté hypothétique des parties (cf. arrêt du Tribunal fédéral 4P.12/2000 précité du 14 juin 2000, consid. 4a/bb; ATF 116 II 634 consid. 4b p. 638; arrêt 4P.52/1990 précité in SJ 1991 p. 12 consid. 2b;).</w:t>
      </w:r>
    </w:p>
    <w:p>
      <w:r>
        <w:rPr>
          <w:b/>
        </w:rPr>
        <w:t>E. 5.2.2</w:t>
      </w:r>
    </w:p>
    <w:p>
      <w:r>
        <w:t>La recourante considère en substance que la sentence attaquée est contraire au principe pacta sunt servanda dans la mesure où elle rejette ses prétentions reconventionnelles en paiement de redevances liées à l'exploitation du service GPRS par Z.________. Comme les arbitres, en interprétant le contrat BOT, ont considéré que l'on ne pouvait interdire à Z.________ de faire fonctionner le service GPRS, tout en réservant les éventuels droits de la recourante à percevoir une redevance, celle-ci en déduit qu'elle était fondée à réclamer des redevances relatives à ce service. En rejetant ses prétentions pour l'utilisation passée du service GPRS par Z.________, le tribunal arbitral aurait ainsi refusé d'ordonner l'exécution d'une obligation, après avoir admis les conditions nécessaires à son exécution.</w:t>
      </w:r>
    </w:p>
    <w:p>
      <w:r>
        <w:t>Contrairement à ce que soutient la recourante, il n'y a pas de contradiction entre le fait d'admettre que Z.________ était en droit de faire fonctionner le service GPRS, tout en rejetant les prétentions en paiement des redevances passées. En effet, le tribunal arbitral a relevé que le versement d'une redevance était subordonné à la fixation d'un taux qui aurait dû être négocié entre la recourante et l'opérateur. Comme les parties n'étaient pas parvenues à trouver un accord sur le taux, il n'y avait pas lieu d'ordonner le versement d'une redevance pour la période pendant laquelle le GPRS avait été exploité. Ce raisonnement ne révèle pas l'existence d'un cas où le tribunal arbitral aurait admis l'existence d'une obligation, tout en refusant de l'appliquer. Le refus d'allouer une redevance à la recourante couvrant la période d'exploitation du GPRS découle seulement de l'interprétation du contrat retenue par les arbitres, pour lesquels l'absence d'accord entre les parties sur le taux de redevance faisait perdre tout droit à la recourante de réclamer un montant à ce titre. Or, comme il l'a été rappelé (cf. supra consid. 5.2.1 in fine), le point de savoir si une telle déduction est correcte, de même que la façon dont le tribunal arbitral a interprété ou appliqué le contrat BOT, ne peuvent être revus par le Tribunal fédéral dans le cadre de l' art. 190 al. 2 let . e LDIP.</w:t>
      </w:r>
    </w:p>
    <w:p>
      <w:r>
        <w:t>Dans ces circonstances, il y a lieu de rejeter le recours dans la mesure où il est recevable.</w:t>
      </w:r>
    </w:p>
    <w:p>
      <w:r>
        <w:rPr>
          <w:b/>
        </w:rPr>
        <w:t>E. 6</w:t>
      </w:r>
    </w:p>
    <w:p>
      <w:r>
        <w:t>En application de l' art. 156 al. 1 OJ , les frais de la procédure fédérale seront supportés par la recourante. Celle-ci devra également verser des dépens aux intimées, créancières solidaires ( art. 159 al. 1 OJ ). Les frais et dépens seront fixés en fonction de la valeur litigieuse considérable de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