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4P.96/2003 vom 30. Juli 2003</w:t>
      </w:r>
    </w:p>
    <w:p>
      <w:r>
        <w:t>Bundesgericht, 2003-07-30, FR</w:t>
      </w:r>
    </w:p>
    <w:p>
      <w:r>
        <w:rPr>
          <w:b/>
        </w:rPr>
        <w:t xml:space="preserve">Quelle: </w:t>
      </w:r>
      <w:r>
        <w:t>https://mcp.opencaselaw.ch/entscheid/bger_4P.96_2003</w:t>
      </w:r>
    </w:p>
    <w:p>
      <w:r>
        <w:t>FR: TF 4P.96/2003 du 30 juillet 2003</w:t>
      </w:r>
    </w:p>
    <w:p>
      <w:r>
        <w:t>IT: TF 4P.96/2003 del 30 luglio 2003</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L'arrêt attaqué est final dans la mesure où la cour cantonale a statué sur une demande pécuniaire, au fond, par une décision qui n'est susceptible d'aucun autre moyen de droit sur le plan fédéral ou cantonal, s'agissant du grief de violation directe d'un droit de rang constitutionnel (art. 84 al. 2 et 86 al. 1 OJ). Le recourant est personnellement touché par la décision entreprise, qui le déboute entièrement de ses conclusions libératoires, de sorte qu'il a un intérêt personnel, actuel et juridiquement protégé à ce que cette décision n'ait pas été adoptée en violation de ses droits constitutionnels; en conséquence, la qualité pour recourir ( art. 88 OJ ) doit lui être reconnue. Interjeté en temps utile ( art. 89 al. 1 OJ ) dans la forme prévue par la loi ( art. 90 al. 1 OJ ), le présent recours est à cet égard recevable.</w:t>
      </w:r>
    </w:p>
    <w:p>
      <w:r>
        <w:rPr>
          <w:b/>
        </w:rPr>
        <w:t>E. 1.2</w:t>
      </w:r>
    </w:p>
    <w:p>
      <w:r>
        <w:t>Saisi d'un recours de droit public, le Tribunal fédéral n'examine que les griefs d'ordre constitutionnel invoqués et suffisamment motivés dans l'acte de recours ( art. 90 al. 1 let. b OJ ; ATF 129 I 113 consid. 2.1, p. 120; 128 III 50 consid. 1c et les arrêts cités, p. 53/54).</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ATF 128 I 81 consid. 2 p. 86, 177 consid. 2.1 p. 182, 273 consid. 2.1; 128 II 259 consid. 5 p. 280/281).</w:t>
      </w:r>
    </w:p>
    <w:p>
      <w:r>
        <w:rPr>
          <w:b/>
        </w:rPr>
        <w:t>E. 2.2</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w:t>
      </w:r>
    </w:p>
    <w:p>
      <w:r>
        <w:rPr>
          <w:b/>
        </w:rPr>
        <w:t>E. 2.3.1</w:t>
      </w:r>
    </w:p>
    <w:p>
      <w:r>
        <w:t>Dans le cas présent, le recourant reproche tout d'abord à la cour cantonale d'avoir calculé le prétendu arriéré de salaire sur la base du décompte d'heures établi par le travailleur lui-même, alors que ce décompte n'a jamais été présenté à l'employeur pendant toute la durée des rapports de travail.</w:t>
      </w:r>
    </w:p>
    <w:p>
      <w:r>
        <w:rPr>
          <w:b/>
        </w:rPr>
        <w:t>E. 2.3.2</w:t>
      </w:r>
    </w:p>
    <w:p>
      <w:r>
        <w:t>Le droit fédéral matériel détermine les faits qui doivent être allégués et prouvés. A cet égard, il faut rappeler que l'employé supporte le fardeau de la preuve des heures supplémentaires qu'il a effectuées dans l'intérêt de l'employeur et qui doivent lui être payées, en vertu de l' art. 321c CO . Lorsqu'il est avéré qu'il a régulièrement dépassé le temps de travail normalement convenu par le contrat ou la convention collective, il n'est pas obligé d'apporter la preuve stricte de chaque heure supplémentaire effectuée. Dans ces circonstances, le juge peut faire application par analogie de l' art. 42 al. 2 CO .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(Adrian Staehelin, Commentaire zurichois, n. 16 ad art. 321c CO ; Pierre Tercier, Les contrats spéciaux, 2e éd., n. 3069 p. 443; Jürg Brühwiler, Kommentar zum Einzelarbeitsvertrag, 2e éd., n. 13 ad art. 321c CO , p. 79/80; Rémy Wyler, Droit du travail, Berne 2002, p. 90). En effet, les heures supplémentaires, effectuées dans l'intérêt de l'employeur mais à son insu, doivent lui être annoncées dans un délai utile, dont la durée est controversée ( ATF 129 III 171 consid. 2.2 p. 174 et les références), cela pour lui permettre d'approuver ces heures supplémentaires ou de prendre les mesures d'organisation interne nécessaires à éviter le travail supplémentaire à l'avenir. Enfin, le travailleur, qui présente tardivement une demande d'indemnisation des heures supplémentaires, n'abuse pas de son droit s'il agit dans le délai de prescription et invoque l' art. 341 al. 1 CO , lequel prescrit qu'il ne peut pas renoncer, pendant la durée du contrat et durant le mois qui suit la fin de celui-ci, aux créances résultant de dispositions impératives de la loi ou d'une convention collective. En effet, il serait contraire à l'esprit de la loi de priver le travailleur, par le biais de l' art. 2 al. 2 CC , de la protection accordée par l' art. 341 CO , sauf s'il existe des circonstances exceptionnelles ( ATF 129 III 171 consid. 2.4 p. 176; 126 III 337 consid. 7b et les arrêts cités, p. 344).</w:t>
      </w:r>
    </w:p>
    <w:p>
      <w:r>
        <w:rPr>
          <w:b/>
        </w:rPr>
        <w:t>E. 2.3.3</w:t>
      </w:r>
    </w:p>
    <w:p>
      <w:r>
        <w:t>En l'espèce, la cour cantonale a retenu que le fait que l'intimé n'ait pas réclamé précédemment le paiement de ses heures de travail supplémentaires s'expliquait par sa crainte d'un licenciement et du non-renouvellement de son permis de séjour. Ces considérations, que ne critique d'ailleurs pas directement le recourant, sont pertinentes. De toute manière, après la fin des rapports de travail, il n'existe d'ordinaire aucune urgence pour l'employeur d'être renseigné sur les heures supplémentaires effectuées par le travailleur (cf. ATF 129 III 171 ibidem). La critique est privée de tout fondement.</w:t>
      </w:r>
    </w:p>
    <w:p>
      <w:r>
        <w:rPr>
          <w:b/>
        </w:rPr>
        <w:t>E. 2.4.1</w:t>
      </w:r>
    </w:p>
    <w:p>
      <w:r>
        <w:t>A suivre le recourant, le salarié, qui omet d'annoncer ses heures supplémentaires à son employeur pendant la relation de travail, rend peu crédible le décompte d'heures qu'il a établi de son propre chef tout au long de son engagement.</w:t>
      </w:r>
    </w:p>
    <w:p>
      <w:r>
        <w:rPr>
          <w:b/>
        </w:rPr>
        <w:t>E. 2.4.2</w:t>
      </w:r>
    </w:p>
    <w:p>
      <w:r>
        <w:t>A ce sujet, l'autorité cantonale a expliqué que le demandeur avait quotidiennement consigné ses horaires dans des agendas tenus bien avant la survenance du litige. La valeur probante de ces pièces a été reconnue, dans la mesure où, selon la Cour civile, l'employé n'avait "pas cherché à gonfler au maximum la somme de ses heures de travail", ce qui ressortait notamment de l'indication des "ponts" accordés par l'employeur, lesquels ne donnent droit à aucune rémunération selon les trois conventions collectives de travail de la plâtrerie et de la peinture du canton du Valais des 5 décembre 1984, 11 janvier 1988 et 1992-1994. De même, l'employé avait indiqué les jours où il avait travaillé moins que l'horaire usuel, ainsi les 18 décembre 1987 et 23 mai 1990. De plus, ont poursuivi les magistrats valaisans, les agendas, pièces émanant d'une partie, sont crédibles dès lors qu'ils sont aussi confirmés par certains témoins, notamment quatre anciens collègues de travail, dépositions qui ont été considérées comme plus convaincantes que celles de quatre autres témoins, dont deux employés du recourant, qui soutenaient que l'horaire était celui avancé par leur employeur (8 h.30 en hiver, 9 h.30 en été). Le Tribunal cantonal a amplement donné les raisons qui l'ont guidé dans l'appréciation des témoignages, non sans relever avec bon sens qu'on ne pouvait exclure que les quatre derniers témoins n'aient pas osé déposer en défaveur de leur patron, par crainte de représailles. Enfin, a ajouté la Cour civile, la comparaison des agendas de l'intimé et des rares renseignements et documents fournis par son ancien employeur démontre le sérieux des décomptes, lesquels mentionnent notamment que l'heure de reprise du travail après les périodes de congés avait lieu à 06 h.45, élément attesté par des circulaires émanant de l'employeur. Dans ces conditions, et malgré le caractère unilatéral de ces agendas, la cour cantonale pouvait sans le moindre arbitraire se fonder sur les indications qu'ils contenaient. Le moyen est sans consistance.</w:t>
      </w:r>
    </w:p>
    <w:p>
      <w:r>
        <w:rPr>
          <w:b/>
        </w:rPr>
        <w:t>E. 2.5.1</w:t>
      </w:r>
    </w:p>
    <w:p>
      <w:r>
        <w:t>Le recourant fait encore grief à la cour cantonale d'avoir admis que l'intimé, le 18 février 1992, ne voulait pas mettre fin à la relation de travail, comme le savait l'employeur. Il prétend qu'il n'a jamais été retenu que le demandeur aurait été contraint de signer le document rédigé par l'employeur à cette date. Le défendeur allègue que, dès l'instant où l'intimé a accepté de signer cette pièce, l'employeur pouvait raisonnablement considérer que cette déclaration de volonté était conforme aux souhaits du travailleur de quitter immédiatement son emploi pour trouver une activité mieux rémunérée.</w:t>
      </w:r>
    </w:p>
    <w:p>
      <w:r>
        <w:rPr>
          <w:b/>
        </w:rPr>
        <w:t>E. 2.5.2</w:t>
      </w:r>
    </w:p>
    <w:p>
      <w:r>
        <w:t>Déterminer ce qu'un cocontractant savait et voulait au moment de conclure sont des circonstances qui relèvent du for intérieur et, partant, constituent des constatations de fait ( ATF 118 II 58 consid. 3a; Bernard Corboz, Le recours en réforme au Tribunal fédéral, in SJ 2000 II p. 62). Dans le cas particulier, la cour cantonale a considéré que l'intimé ne voulait pas quitter son emploi et que cette volonté différait de la manifestation exprimée dans le document du 18 février 1992, rédigé par l'employeur sur un papier à l'en-tête de son entreprise. L'employé a ainsi le soir même relaté à son syndicat les circonstances dans lesquelles il avait apposé sa signature (injonction de l'employeur de signer l'écriture en cause dont il n'avait pas saisi la teneur, impossibilité d'emporter le document pour réfléchir avant de signer, tension psychologique due au renvoi). A la suite de quoi, le syndicat a sans délai mis en demeure l'employeur de fournir du travail à son membre jusqu'au 30 avril 1992, date du prochain terme de résiliation du contrat. Ces éléments indiquent avec netteté que la volonté réelle du travailleur n'était pas de quitter immédiatement son emploi. Les juges cantonaux ont également observé que l'intimé n'avait pas retrouvé de place avant septembre 1992, ce qui confirme la constatation qu'en février 1992, il entendait poursuivre la relation de travail, malgré sa revendication d'obtenir la rémunération du travail supplémentaire. De plus, la chronologie soulignée par la cour cantonale, selon laquelle l'employeur a établi le document du 18 février 1992 sitôt après avoir reçu une citation en conciliation par l'office du travail, corrobore, si besoin était, cette vision des choses. La cour cantonale pouvait en conséquence raisonnablement déduire de ces circonstances que l'employé ne voulait pas mettre fin à son contrat de travail le 18 février 1992, ce document n'exprimant pas sa volonté réelle. Comme la volonté des deux parties de se départir du contrat n'est pas établie, le document du 18 février 1992 n'a pas du tout la portée que lui prête le recourant (absence d'un "Aufhebungsvertrag", cf. à ce propos ATF 119 II 449 consid. 2a et l'arrêt cité). Le grief est sans fondement.</w:t>
      </w:r>
    </w:p>
    <w:p>
      <w:r>
        <w:rPr>
          <w:b/>
        </w:rPr>
        <w:t>E. 3</w:t>
      </w:r>
    </w:p>
    <w:p>
      <w:r>
        <w:t>Il suit de là que le recours droit être rejeté. En raison de la valeur litigieuse de la présente cause, supérieure à 30'000 fr. au moment de l'introduction de l'action ( ATF 115 II 30 consid. 5b p. 42), la procédure n'est pas gratuite ( art. 343 al. 3 CO a contrario). Le recourant, qui succombe, paiera donc l'émolument de justice et versera des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