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4P.74/2000 vom 7. Juli 2000</w:t>
      </w:r>
    </w:p>
    <w:p>
      <w:r>
        <w:t>Bundesgericht, 2000-07-07, IT</w:t>
      </w:r>
    </w:p>
    <w:p>
      <w:r>
        <w:rPr>
          <w:b/>
        </w:rPr>
        <w:t xml:space="preserve">Quelle: </w:t>
      </w:r>
      <w:r>
        <w:t>https://mcp.opencaselaw.ch/entscheid/bger_4P.74_2000</w:t>
      </w:r>
    </w:p>
    <w:p>
      <w:r>
        <w:t>FR: TF 4P.74/2000 du 7 juillet 2000</w:t>
      </w:r>
    </w:p>
    <w:p>
      <w:r>
        <w:t>IT: TF 4P.74/2000 del 7 luglio 2000</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Giusta l' art. 84 cpv. 2 OG il ricorso di diritto pubblico è ammissibile soltanto se la pretesa violazione del diritto non può essere fatta valere mediante altra azione o altro rimedio, ed in particolare il ricorso per riforma. Tra le violazioni del diritto federale suscettibili di essere invocate nel quadro di un ricorso per riforma è compresa anche quella del principio dell'affidamento nell'interpretazione delle dichiarazioni di volontà delle parti ( DTF 123 III 165 consid. 3a). Per contro, questo rimedio non è ammesso contro constatazioni di fatto; in particolare non sono proponibili censure rivolte contro l'apprezzamento delle prove né contro la determinazione della reale volontà delle parti ( DTF 118 II 365 ). Con il ricorso per riforma non può inoltre essere contestata l'applicazione di norme di diritto cantonale.</w:t>
      </w:r>
    </w:p>
    <w:p>
      <w:r>
        <w:t>Nella causa impugnata, suscettibile di essere rivista nel quadro di un ricorso per riforma visto l'oggetto e il valore della lite ( art. 46 OG ), il ricorso di diritto pubblico non è assolutamente escluso a causa della sua natura sussidiaria. Nella misura in cui la ricorrente si prevale della violazione del diritto federale, esso risulta comunque d'acchito inammissibile.</w:t>
      </w:r>
    </w:p>
    <w:p>
      <w:r>
        <w:rPr>
          <w:b/>
        </w:rPr>
        <w:t>E. 3</w:t>
      </w:r>
    </w:p>
    <w:p>
      <w:r>
        <w:t>La ricorrente insorge anzitutto contro l'assunto della Corte cantonale secondo il quale le sue argomentazioni in merito all'accettazione tacita della disdetta del contratto da parte della CEDA non possono essere considerate, giacché formulate solo in sede di conclusioni ( art. 78 CPC /TI). L'insorgente sostiene infatti che la dissertazione sull'accettazione tacita tocca un tema di puro diritto e che tale modo di procedere trova l'avvallo della giurisprudenza cantonale, per la quale l'impostazione giuridica di una causa può essere modificata in ogni tempo. Essa rimprovera alla Corte cantonale di aver confuso un problema di fatto con uno di diritto, applicando quindi in maniera arbitraria le norme procedurali cantonali.</w:t>
      </w:r>
    </w:p>
    <w:p>
      <w:r>
        <w:t>A torto. È semmai la ricorrente che disconosce che l'accettazione del contratto configura una questione di fatto e poggia sull'accertamento delle prove sia quando viene accertata la reale volontà delle parti, sia quando si tratta di valutare le circostanze (di fatto) dalle quali emerge un'accettazione secondo il principio dell'affidamento.</w:t>
      </w:r>
    </w:p>
    <w:p>
      <w:r>
        <w:t>Questo premesso, nella misura in cui l'insorgente ha addotto per la prima volta la reale volontà delle parti al contratto nelle conclusioni di causa, la Corte cantonale poteva respingere questa nuova censura senza incorrere nell'arbitrio, posto che il diritto procedurale cantonale non ammette l'allegazione di fatti nuovi nelle conclusioni ( art. 78 CPC /TI). Al proposito la ricorrente non sostiene che le norme cantonali sarebbero state arbitrariamente interpretate né assevera di aver fatto valere nuove allegazioni di fatto in uno stadio della procedura ove questo era ancora possibile.</w:t>
      </w:r>
    </w:p>
    <w:p>
      <w:r>
        <w:t>Infine, laddove essa ritiene arbitrario il fatto che la Corte cantonale non abbia trovato le sue argomentazioni giuridiche pertinenti, essa si avvale di una questione relativa al diritto federale che può essere invocata solo con un ricorso per riforma. Il diritto federale prescrive infatti che le sue disposizioni vengano applicate d'ufficio dalla giurisdizione civile cantonale. Su questo punto il rimedio del ricorso di diritto pubblico è pertanto escluso ai sensi dell' art. 84 cpv. 2 OG .</w:t>
      </w:r>
    </w:p>
    <w:p>
      <w:r>
        <w:rPr>
          <w:b/>
        </w:rPr>
        <w:t>E. 4</w:t>
      </w:r>
    </w:p>
    <w:p>
      <w:r>
        <w:t>In secondo luogo la ASL considera assolutamente arbitraria la tesi secondo la quale la disdetta non sarebbe valida già dal profilo formale perché non preceduta dalla messa in mora per lettera raccomandata. Essa rimprovera ai giudici cantonali di aver a torto ritenuto che con l'adozione del punto 4 del contratto di servizio le parti abbiano voluto derogare all' art. 108 CO - norma di diritto dispositivo - e convenuto invece una clausola specifica per cui la disdetta doveva in ogni caso essere preceduta da una formale messa in mora.</w:t>
      </w:r>
    </w:p>
    <w:p>
      <w:r>
        <w:t>Ora, giovi osservare che la ricorrente stessa ammette, a questo proposito, che non vi è nessun elemento agli atti che consenta di stabilire la reale e concorde volontà delle parti. In queste circostanze non è ben dato di vedere in che modo la Corte cantonale, omettendo di eseguire un apprezzamento probatorio, avrebbe violato il divieto d'arbitrio. Una volta ancora, l'interpretazione di questa clausola del contratto da parte dei giudici cantonali - effettuata sulla scorta del principio dell'affidamento - rileva dall'applicazione del diritto federale, la cui violazione va semmai fatta valere nel ricorso per riforma ( art. 84 cpv. 2 OG ).</w:t>
      </w:r>
    </w:p>
    <w:p>
      <w:r>
        <w:rPr>
          <w:b/>
        </w:rPr>
        <w:t>E. 5</w:t>
      </w:r>
    </w:p>
    <w:p>
      <w:r>
        <w:t>La ricorrente rimprovera infine al Tribunale d'appello di essere incorso nell'arbitrio nella misura in cui ha concluso che la disdetta anticipata era pure materialmente ingiustificata a causa dell'assenza di gravi motivi.</w:t>
      </w:r>
    </w:p>
    <w:p>
      <w:r>
        <w:t>A suo modo di vedere questa conclusione è inconciliabile con le risultante processuali.</w:t>
      </w:r>
    </w:p>
    <w:p>
      <w:r>
        <w:t>a) Va in primo luogo osservato che le critiche rivolte contro le interpretazioni delle clausole contrattuali e in particolare contro l'assunto della Corte cantonale per la quale la diminuita idoneità del sistema informatico avrebbe potuto dare luogo ad una riduzione della mensilità dovuta piuttosto che ad una rescissione contrattuale, riguardano una volta di più l'applicazione del diritto federale, e non sono pertanto ricevibili in sede di ricorso di diritto pubblico.</w:t>
      </w:r>
    </w:p>
    <w:p>
      <w:r>
        <w:t>b) Nella misura in cui le circostanze di fatto legate alla disdetta contrattuale sono essenziali per stabilire la questione - di diritto - dell'esistenza di gravi motivi, la loro determinazione è rilevante ai fini dell'applicazione del diritto federale. Occorre perciò verificare se il Tribunale d'appello ha rifiutato arbitrariamente di considerare i problemi relativi al sistema informatico rilevati dalla ricorrente.</w:t>
      </w:r>
    </w:p>
    <w:p>
      <w:r>
        <w:t>aa) Visto il tenore dell'allegato ricorsuale, si rammenta che giusta l' art. 90 cpv. 1 lett. b OG , il ricorso di diritto pubblico deve contenere l'esposizione dei fatti essenziali e quella concisa dei diritti costituzionali o delle norme giuridiche che si pretendono violati, precisando altresì in che consista tale violazione ( DTF 122 I 70 consid. 1c con rinvii, 121 IV 317 consi. 3b). Il gravame fondato sull' art. 9 Cost. , com'è quello in esame, non può inoltre essere sorretto da argomentazioni con cui il ricorrente si limita a contrapporre il suo parere a quello dell' autorità cantonale, come se il Tribunale federale fosse una superiore giurisdizione di appello. Per richiamarsi con successo all'arbitrio, il ricorrente deve dimostrare - con un'argomentazione precisa - che l'autorità cantonale ha emanato una decisione manifestamente insostenibile, destituita di fondamento serio e oggettivo o in urto palese con il senso di giustizia ed equità ( DTF 117 Ia 10 consid. 4b, 110 Ia 1 consid. 2a e rif.).Giova infine rammentare che in materia di apprezzamento delle prove l'autorità cantonale fruisce di un grande potere d'apprezzamento. Il Tribunale federale interviene solo se il ricorrente dimostra dettagliatamente che tale apprezzamento è arbitrario nel senso definito sopra ( DTF 124 IV 86 consid. 2a, 120 Ia 31 consid. 4b e rif.). Affinché sia annullata, la decisione impugnata deve risultare arbitraria nel suo risultato, non soltanto nella motivazione ( DTF 124 I 310 consid. 5a e riferimenti).</w:t>
      </w:r>
    </w:p>
    <w:p>
      <w:r>
        <w:t>bb) Nella fattispecie la ricorrente non ha citato chiaramente quali fossero i concreti problemi (né dimostra di avere apportato le prove corrispondenti) che avrebbe incontrato in seguito alla (carente) manutenzione dei programmi informatici fornitigli dalla CEDA. In queste circostanze, pur tenendo conto delle deposizioni testimoniali citate dall'insorgente a supporto delle sue argomentazioni, l'apprezzamento delle prove operato dai giudici ticinesi non può essere qualificato come manifestamente insostenibile.</w:t>
      </w:r>
    </w:p>
    <w:p>
      <w:r>
        <w:t>Fondandosi sul tenore della lettera di rescissione del 19 maggio 1993, nella quale la ricorrente lamentava che il centro informatico non rispondeva più alle sue esigenze ed era diventato obsoleto, hanno negato che queste circostanze potevano giustificare una disdetta anticipata del contratto, non si trattandosi tanto di difetti imputabili alla CEDA per sue inadempienze (mancata manutenzione, supporto tecnico carente, ..), quanto piuttosto di un normale invecchiamento dell'impianto.</w:t>
      </w:r>
    </w:p>
    <w:p>
      <w:r>
        <w:rPr>
          <w:b/>
        </w:rPr>
        <w:t>E. 6</w:t>
      </w:r>
    </w:p>
    <w:p>
      <w:r>
        <w:t>Nella misura in cui è ammissibile, il ricorso di diritto pubblico si rivela infondato. Spese e indennità processuali sono poste a carico della parte soccombente, la quale dovrà rifondere adeguate ripetibili al resistente, assistito da un'avvocato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