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4P.71/2001 vom 12. Juni 2001</w:t>
      </w:r>
    </w:p>
    <w:p>
      <w:r>
        <w:t>Bundesgericht, 2001-06-12, FR</w:t>
      </w:r>
    </w:p>
    <w:p>
      <w:r>
        <w:rPr>
          <w:b/>
        </w:rPr>
        <w:t xml:space="preserve">Quelle: </w:t>
      </w:r>
      <w:r>
        <w:t>https://mcp.opencaselaw.ch/entscheid/bger_4P.71_2001</w:t>
      </w:r>
    </w:p>
    <w:p>
      <w:r>
        <w:t>FR: TF 4P.71/2001 du 12 juin 2001</w:t>
      </w:r>
    </w:p>
    <w:p>
      <w:r>
        <w:t>IT: TF 4P.71/2001 del 12 giugno 2001</w:t>
      </w:r>
    </w:p>
    <w:p>
      <w:pPr>
        <w:pStyle w:val="Heading2"/>
      </w:pPr>
      <w:r>
        <w:t>Regeste</w:t>
      </w:r>
    </w:p>
    <w:p>
      <w:r>
        <w:t>Procédure civile</w:t>
      </w:r>
    </w:p>
    <w:p>
      <w:pPr>
        <w:pStyle w:val="Heading2"/>
      </w:pPr>
      <w:r>
        <w:t>Erwägungen</w:t>
      </w:r>
    </w:p>
    <w:p>
      <w:r>
        <w:rPr>
          <w:b/>
        </w:rPr>
        <w:t>E. 1</w:t>
      </w:r>
    </w:p>
    <w:p>
      <w:r>
        <w:t>a) Dans son recours, la défenderesse soutient, en fait, que le 19 août 2000 elle a remis à un bureau de poste suisse son mémoire d'appel en trois exemplaires, dont l'un comportait sa signature manuscrite, les deux autres ne revêtant effectivement qu'une reproduction apposée par un système d'impression (photocopie). b) Il ne sera pas tenu compte de l'affirmation du dépôt d'un acte d'appel signé par la recourante. En effet, le réexamen, dans un recours de droit public, de l'appréciation des preuves et des constatations de fait qui en découlent est prohibé, à moins qu'il y ait eu violation de la Constitution. Autrement dit, les constatations de fait et l'appréciation des preuves ne peuvent être attaquées en instance de recours de droit public que si elles sont arbitraires, ou consacrent une violation des garanties de procédure, comme le droit d'être entendu. Elles ne peuvent être critiquées qu'aux conditions strictes posées par la jurisprudence (cf. ATF 120 Ia 31 consid. 4b; 118 Ia 28 consid. 1b). Dès lors que la défenderesse n'expose même pas que l'une de ces conditions serait remplie, le moyen dirigé contre les constatations de fait de l'arrêt attaqué est irrecevable.</w:t>
      </w:r>
    </w:p>
    <w:p>
      <w:r>
        <w:rPr>
          <w:b/>
        </w:rPr>
        <w:t>E. 2</w:t>
      </w:r>
    </w:p>
    <w:p>
      <w:r>
        <w:t>Invoquant le formalisme excessif, la recourante se réfère aux considérations de la cour cantonale selon lesquelles le défaut de signature est un vice réparable, dans la mesure où il peut être régularisé avant l'échéance du délai d'appel. Elle critique la conclusion à laquelle a abouti la Cour de justice en l'espèce, à savoir que l'absence de signature valable n'a été décelée par les juges que le 8 décembre 2000, bien après l'échéance du délai d'appel, de sorte que la réparation de l'omission était devenue impossible. Pour la recourante, cette argumentation, outre le fait qu'elle n'est pas convaincante, aboutit à un résultat choquant. Elle affirme encore que le vice affectant son mémoire de recours ne pouvait échapper à l'autorité à laquelle l'acte était destiné, car il n'y avait nul besoin de recourir à une expertise pour distinguer une signature photocopiée d'une signature originale. Enfin, elle fait valoir que, compte tenu des féries, le délai d'appel est venu à échéance le 22 août 2000, si bien que l'autorité intimée, soit pour elle son greffe, pouvait et se devait de réagir jusqu'à cette date; en d'autres termes, la cour cantonale avait le devoir d'attirer l'attention de la recourante sur le défaut - facilement décelable - de signature manuscrite.</w:t>
      </w:r>
    </w:p>
    <w:p>
      <w:r>
        <w:rPr>
          <w:b/>
        </w:rPr>
        <w:t>E. 3</w:t>
      </w:r>
    </w:p>
    <w:p>
      <w:r>
        <w:t>a) A juste titre, la recourante ne critique pas l'affirmation de la cour cantonale selon laquelle le droit de procédure exige qu'un acte de recours soit muni de la signature originale de son auteur, l'acte sur lequel la signature ne figure qu'en photocopie n'étant donc pas valable (cf. ATF 121 II 252 consid. 3 et 4a; 112 Ia 173 consid. 1). Cette jurisprudence a été confirmée récemment (arrêt non publié du 9 avril 2001 dans la cause 1P.94/2001, consid. 2a). On peut admettre aussi, avec la cour cantonale, que cette exigence fondamentale, qui découle de l' art. 13 CO , est également de mise en droit cantonal genevois (cf. Bertossa/Gaillard/Guyet/Schmidt, Commentaire de la loi de procédure civile du canton de Genève du 10 avril 1987, n. 9 ad art. 7 LPC ; arrêt du 29 janvier 2001 consid. 2b, publié in: SJ 2001 I p. 289 ss). b) Le formalisme excessif est une forme particulière du déni de justice prohibé par l' art. 29 al. 1 Cst. Il est réalisé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soit dans la sanction qui lui est attachée. Le Tribunal fédéral examine librement ce grief. Il accorde aussi une importance déterminante aux circonstances particulières du cas ( ATF 125 I 166 consid. 3a et 3d; 121 I 177 consid. 2b/aa et les références). En règle générale, selon la jurisprudence relative aux art. 9 et 29 al. 1 Cst. , une autorité administrative ou judiciaire a l'obligation d'avertir la personne qui accomplit auprès d'elle un acte juridique lorsque celle-ci commet un vice de forme; l'obligation d'avertir suppose toutefois que le vice soit clairement reconnaissable et que, de plus, il soit possible au plaideur de le réparer à temps ( ATF 125 I 166 consid. 3a). Si l'autorité a méconnu cette obligation, elle doit tolérer que l'acte concerné soit régularisé, éventuellement, hors délai. Le Tribunal fédéral a précisé qu'il importait peu que l'inadvertance (i.e. le vice ou l'irrégularité) soit de fait restée inaperçue. C'est le caractère objectivement apparent de l'erreur qui est déterminant. C'est ainsi que la juridiction fédérale a posé que l'autorité qui reçoit une requête non signée a le devoir d'attirer l'attention de l'auteur sur ce défaut, pour autant qu'en raison des circonstances ledit défaut doive normalement être aperçu d'emblée et que le délai encore disponible soit suffisant pour permettre à l'auteur de le réparer à temps ( ATF 114 Ia 20 consid. 2b). c) En l'espèce, si l'on se réfère à l'acte d'appel expédié par la recourante le 19 août 2000, la circonstance qu'il n'était pas muni d'une signature originale mais qu'il s'agissait d'une photocopie, ne pouvait guère échapper à l'autorité à laquelle la défenderesse l'a adressé. Le délai d'appel de 30 jours dont disposait la recourante, compte tenu des règles sur la computation et sur la suspension des délais ( art. 29 et 30 LPC ), échéait le 22 août 2000. Comme cette pièce, expédiée un samedi, a dû parvenir à la Cour de justice le lundi 21 août 2000, cette autorité ne pouvait agir que le 21 ou le 22 août, dernier jour du délai. La recourante aurait pu être atteinte sans difficulté, soit par téléphone, soit par l'envoi immédiat d'une lettre. Il appert ainsi - comme dans le cas de l' ATF 114 Ia 20 consid. 2c très semblable à la présente espèce - que la Cour de justice se trouvait dans une situation limite où, sauf circonstances particulières, c'est-à-dire dans des conditions normales de travail, elle devait encore intervenir. Il convient encore de relever qu'il n'est nullement indispensable que l'autorité prenne elle-même connaissance des déclarations de recours qui lui sont adressées (cf. ATF 114 Ia 20 consid. 2c, dernier alinéa). On est donc en présence d'un cas où l'autorité, se trouvant face à une irrégularité clairement reconnaissable, réparable à temps, avait le devoir d'avertir la recourante de l'existence de ce vice. Ayant méconnu cette obligation, la cour cantonale a fait montre de formalisme excessif et doit tolérer que l'acte puisse être régularisé, même hors délai. En conséquence, le recours devra être admis, l'arrêt attaqué étant annulé.</w:t>
      </w:r>
    </w:p>
    <w:p>
      <w:r>
        <w:rPr>
          <w:b/>
        </w:rPr>
        <w:t>E. 4</w:t>
      </w:r>
    </w:p>
    <w:p>
      <w:r>
        <w:t>Vu l'issue du litige, les frais judiciaires seront mis à la charge de l'intimé. En revanche, il ne sera pas alloué de dépens à la recourante, qui a procédé seule et n'a pas invoqué de dépenses particulières ( ATF 125 II 518 consid.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