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4P.70/2005 vom 27. Juli 2005</w:t>
      </w:r>
    </w:p>
    <w:p>
      <w:r>
        <w:t>Bundesgericht, 2005-07-27, FR</w:t>
      </w:r>
    </w:p>
    <w:p>
      <w:r>
        <w:rPr>
          <w:b/>
        </w:rPr>
        <w:t xml:space="preserve">Quelle: </w:t>
      </w:r>
      <w:r>
        <w:t>https://mcp.opencaselaw.ch/entscheid/bger_4P.70_2005</w:t>
      </w:r>
    </w:p>
    <w:p>
      <w:r>
        <w:t>FR: TF 4P.70/2005 du 27 juillet 2005</w:t>
      </w:r>
    </w:p>
    <w:p>
      <w:r>
        <w:t>IT: TF 4P.70/2005 del 27 luglio 2005</w:t>
      </w:r>
    </w:p>
    <w:p>
      <w:pPr>
        <w:pStyle w:val="Heading2"/>
      </w:pPr>
      <w:r>
        <w:t>Regeste</w:t>
      </w:r>
    </w:p>
    <w:p>
      <w:r>
        <w:t>art. 9 et 29 al. 2 Cst. (Appréciation arbitraire des preuves en procédure civile; droit d'être entendu) | Procédure civile</w:t>
      </w:r>
    </w:p>
    <w:p>
      <w:pPr>
        <w:pStyle w:val="Heading2"/>
      </w:pPr>
      <w:r>
        <w:t>Erwägungen</w:t>
      </w:r>
    </w:p>
    <w:p>
      <w:r>
        <w:rPr>
          <w:b/>
        </w:rPr>
        <w:t>E. 1</w:t>
      </w:r>
    </w:p>
    <w:p>
      <w:r>
        <w:t>Le recours de droit public porte seulement sur le bien-fondé de l'indemnité allouée à l'intimé à titre de rachat de ses options. Dans le recours en réforme interjeté parallèlement et qui a été examiné en premier lieu, en dérogation à la règle générale de l' art. 57 al. 5 OJ , la Cour de céans a confirmé la position des autorités cantonales admettant le caractère injustifié du licenciement immédiat de l'intimé. Par conséquent, le versement d'une indemnité à titre de rachat des options n'apparaît pas d'emblée exclu en raison d'un juste motif de résiliation immédiate. La présente procédure n'a donc pas perdu son objet.</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l'arrêt entrepris, qui la condamne à paiement. Elle a donc un intérêt personnel, actuel et juridiquement protégé à ce que cette décision n'ait pas été adoptée en violation de ses droits constitutionnels, de sorte que la qualité pour recourir ( art. 88 OJ ) doit lui être reconnue. Interjeté en temps utile (art. 32 al. 2 et 89 al. 1 OJ) et dans la forme prévue par la loi ( art. 90 al. 1 OJ ), le recours est en principe recevable.</w:t>
      </w:r>
    </w:p>
    <w:p>
      <w:r>
        <w:rPr>
          <w:b/>
        </w:rPr>
        <w:t>E. 2.2</w:t>
      </w:r>
    </w:p>
    <w:p>
      <w:r>
        <w:t>Saisi d'un recours de droit public, le Tribunal fédéral n'examine que les griefs d'ordre constitutionnel invoqués et suffisamment motivés dans l'acte de recours ( art. 90 al. 1 let. b OJ ; ATF 130 I 258 consid. 1.3 p. 261 s.;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2.6</w:t>
      </w:r>
    </w:p>
    <w:p>
      <w:r>
        <w:t>Droit d'exercice des options: chaque option octroyée à un employé bénéficiaire pourra être exercée comme suit:</w:t>
      </w:r>
    </w:p>
    <w:p>
      <w:r>
        <w:rPr>
          <w:b/>
        </w:rPr>
        <w:t>E. 2.6.1</w:t>
      </w:r>
    </w:p>
    <w:p>
      <w:r>
        <w:t>Acquisition du droit d'exercice: un employé bénéficiaire au service de la société ou d'une filiale acquiert son droit d'exercer les options octroyées en vertu de l'art. 2.2. ci-dessus selon l'échéancier et les proportions suivantes: A la date d'octroi 0% 12 mois après la date d'octroi 33.333 % (1ère date d'exercice) 24 mois après la date d'octroi 33.333% (2ème date d'exercice) 36 mois après la date d'octroi 33.333% (3ème date d'exercice) (...)</w:t>
      </w:r>
    </w:p>
    <w:p>
      <w:r>
        <w:rPr>
          <w:b/>
        </w:rPr>
        <w:t>E. 2.6.2</w:t>
      </w:r>
    </w:p>
    <w:p>
      <w:r>
        <w:t>Cessation des rapports de travail après l'acquisition de droits d'exercice (en général): Si, après la 1ère date d'exercice prévue à l'art. 2.6.1., l'employé bénéficiaire donne ou reçoit son congé, la société a l'obligation de racheter la partie des options pouvant être exercées à la date du dernier jour d'emploi conformément à l'art. 2.6.1 ci-dessus. Le prix de rachat correspond à la valeur de marché estimée des actions au jour de cessation des rapports de travail moins le prix d'exercice.</w:t>
      </w:r>
    </w:p>
    <w:p>
      <w:r>
        <w:rPr>
          <w:b/>
        </w:rPr>
        <w:t>E. 2.6.3</w:t>
      </w:r>
    </w:p>
    <w:p>
      <w:r>
        <w:t>Cessation des rapports de travail avant l'acquisition de droits d'exercice (en général): Si, avant la 1ère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w:t>
      </w:r>
    </w:p>
    <w:p>
      <w:r>
        <w:rPr>
          <w:b/>
        </w:rPr>
        <w:t>E. 2.6.4</w:t>
      </w:r>
    </w:p>
    <w:p>
      <w:r>
        <w:t>Cessation des rapports de travail pour raisons qualifiées avant l'acquisition de droits d'exercice: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 Toutefois, l'employé bénéficiaire, qui donne ou reçoit son congé pour raisons qualifiées au sens de l'art. 1.2 alinéa (n) et dont le dernier jour de travail se situe moins de 12 mois après la date d'octroi, doit renoncer aux options dont le droit d'exercice ne lui est pas acquis en vertu de l'art. 2.6.1 à la date de cessation des rapports de travail. De telles options seront par conséquence annulées. Sur la base de ce règlement, on ne parvient pas à comprendre comment la cour cantonale est parvenue à la conclusion que toutes les options dont disposait l'intimé devaient être rachetées. Les faits retenus dans l'arrêt attaqué ne permettent d'ailleurs même pas de déterminer laquelle des hypothèses visées aux art. 2.6.2 à 2.6.4 du règlement précité est applicable. En effet, on sait seulement que l'intimé s'est vu "notifier l'octroi de l'option d'acheter 7'000 actions" de la part de la recourante le 28 janvier 2002 et qu'il a été avisé de son congé avec effet immédiat le 29 juillet 2002. En revanche, on ignore si la date d'octroi des options correspond bien au 28 janvier 2002 et, par voie de conséquence, si la cessation des rapports de travail est intervenue après ou avant les 12 mois suivant la date d'octroi. On ne sait pas non plus à partir de quand l'intimé avait le droit d'exercer les options et combien d'entre elles pouvaient l'être au moment du licenciement immédiat. Il s'agit cependant d'éléments déterminants pour se prononcer sur l'obligation de rachat de la recourante. Dans ces circonstances, il apparaît que les exigences de motivation découlant de l' art. 29 al. 2 Cst. ne sont pas respectées, dès lors que la Cour de céans n'est pas en mesure de comprendre sur la base de quels éléments de fait les juges cantonaux se sont fondés pour considérer que la totalité des options dont la recourante a avisé l'intimé de l'octroi le 28 janvier 2002 donnait droit à une indemnisation. Comme l'on ne saisit pas le raisonnement suivi, il n'est pas possible de vérifier si le résultat auquel a abouti la cour cantonale est en lui-même insoutenable, ni même de déterminer si le fait d'écarter la consultation de W.________ S.A. sur ce point révèle un non-respect des règles en matière d'appréciation anticipée des preuves. L'arrêt attaqué doit donc être partiellement annulé dans la mesure où il condamne la recourante à payer à l'intimé la somme de 63'000 fr. avec intérêt à 5 % l'an dès le 29 juillet 2002, ainsi que s'agissant des frais de justice. Il appartiendra à l'autorité cantonale de se prononcer à nouveau sur la question du rachat des options en tenant compte des éléments précités et, en fonction de l'issue du litige, de procéder au besoin à une nouvelle répartition des émoluments de l'instance cantonale. Le recours, qui concluait à l'annulation de la décision entreprise dans son ensemble, doit donc être partiellement admis (cf. Kälin, Das Verfahren der staatsrechtlichen Beschwerde, 2e éd. Berne 1994, p. 399).</w:t>
      </w:r>
    </w:p>
    <w:p>
      <w:r>
        <w:rPr>
          <w:b/>
        </w:rPr>
        <w:t>E. 3</w:t>
      </w:r>
    </w:p>
    <w:p>
      <w:r>
        <w:t>Invoquant une violation des art. 9 et 29 al. 2 Cst. , la recourante reproche en substance à la cour cantonale d'avoir à la fois violé son droit à obtenir une décision motivée et procédé à une appréciation arbitraire des preuves, en ne tenant pas compte d'une consultation du 22 août 2003 émanant de W.________ S.A., sans fournir d'explication. Selon la recourante, les juges ont ainsi été amenés à commettre des erreurs grossières, d'une part en indemnisant l'intimé pour la totalité de ses options, sans distinguer les options exécutables de celles ne l'étant pas et, d'autre part, en fixant le prix de rachat des options à 9 fr. par action. Il ressort de cette motivation que les griefs d'arbitraire et de violation du droit à une décision motivée formulés par la recourante se recoupent, de sorte qu'il convient de les traiter ensemble.</w:t>
      </w:r>
    </w:p>
    <w:p>
      <w:r>
        <w:rPr>
          <w:b/>
        </w:rPr>
        <w:t>E. 3.1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126 I 15 consid. 2a/aa, 97 consid. 2b). Comme le relève la recourante, le droit d'être entendu n'impose pas à l'autorité l'obligation d'exposer et de discuter tous les faits, moyens de preuve et griefs invoqués par les parties, mais elle peut au contraire se limiter à ceux qui, sans arbitraire, lui semblent pertinents ( ATF 126 I 97 consid. 2b; 121 I 54 consid. 2c p. 57 et les arrêts cités). La faculté d'écarter certains éléments de preuve ou certains griefs, sur la base d'une appréciation anticipée des preuves, n'est donc pas contraire à la Constitution (cf. ATF 125 I 127 consid. 6c/cc p. 135), pour autant que cette appréciation n'apparaisse pas arbitraire ( ATF 124 I 208 consid. 4a et les arrêts cités). Quant à l'arbitraire prohibé par l' art. 9 Cst. , il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Enfin, pour qu'une décision soit annulée pour cause d'arbitraire, il ne suffit pas que la motivation formulée soit insoutenable, il faut encore que la décision apparaisse arbitraire dans son résultat ( ATF 129 I 173 consid. 3.1 et les arrêts cités).</w:t>
      </w:r>
    </w:p>
    <w:p>
      <w:r>
        <w:rPr>
          <w:b/>
        </w:rPr>
        <w:t>E. 3.2</w:t>
      </w:r>
    </w:p>
    <w:p>
      <w:r>
        <w:t>En ce qui concerne tout d'abord le prix de rachat des options de 9 fr. retenu par la cour cantonale, les critiques de la recourante sont infondées. Il ressort de l'arrêt attaqué que, pour admettre cette valeur, la cour cantonale s'est référée au règlement du 18 janvier 2002 régissant le plan d'options en faveur de l'intimé. L'art. 1.2 de ce règlement, reproduit intégralement dans la décision entreprise, définit la valeur de marché estimée des actions en fonction de la valeur intrinsèque de l'actif net de la société, divisé par le nombre d'actions émises. Il décrit en outre les principes comptables et les ajustements à prendre en compte, afin de calculer la valeur intrinsèque de l'action à une date donnée. Or, deux fiduciaires se sont penchées sur la question et sont parvenues à la même conclusion, à savoir que le prix de rachat équivalait à 9 fr. par action. Quant à la consultation du 22 août 2003 dont se prévaut la recourante, cette dernière reconnaît qu'elle ne fixe aucun prix pour l'action, mais explique seulement les raisons pour lesquelles les options octroyées à l'intimé ne seraient pas évaluables objectivement. Dans un tel contexte, on ne voit manifestement pas en quoi la cour cantonale aurait apprécié les preuves de manière insoutenable en se fondant sur l'évaluation concordante de deux fiduciaires qui, se penchant sur les règles comptables fixées dans le règlement applicable, sont toutes les deux parvenues à un prix de rachat de 9 fr. par action. On ne peut davantage lui reprocher d'avoir procédé à une appréciation anticipée des preuves contraire à la Constitution en ne mentionnant pas la consultation du 22 août 2003, qui ne faisait état que des difficultés posées par l'évaluation, alors qu'elle avait à disposition deux autres pièces répondant clairement à la question et articulant un chiffre précis.</w:t>
      </w:r>
    </w:p>
    <w:p>
      <w:r>
        <w:rPr>
          <w:b/>
        </w:rPr>
        <w:t>E. 3.3</w:t>
      </w:r>
    </w:p>
    <w:p>
      <w:r>
        <w:t>Il reste à examiner si la cour cantonale a violé les art. 9 ou 29 al. 2 Cst. en calculant l'indemnité due à titre de rachat sur la base de l'intégralité des options octroyées à l'intimé. D'après la recourante, les juges ont commis une grossière erreur en ne distinguant pas entre les options exécutables et les autres, comme l'avait expliqué de manière claire et détaillée W.________ S.A. dans sa consultation. En ignorant cette distinction, ils se seraient manifestement trompés sur la portée des points 2.6.2 et 2.6.3 du règlement. Il est vrai que la cour cantonale a calculé l'indemnité de rachat sur la base de l'ensemble des options que la recourante a octroyées à l'intimé le 28 janvier 2002, mais sans consacrer la moindre explication à la question. Les juges semblent être partis de la prémisse que, dès lors que le licenciement immédiat n'était pas justifié, l'intimé avait droit à être indemnisé pour l'intégralité des options dont il disposait. Il ressort pourtant de l'art. 2.6 du règlement du plan d'options, adopté par l'assemblée générale le 18 janvier 2002 et applicable à l'intimé, qu'une approche plus nuancée s'impose. Cette disposition prévoit en effet les règles suivantes :</w:t>
      </w:r>
    </w:p>
    <w:p>
      <w:r>
        <w:rPr>
          <w:b/>
        </w:rPr>
        <w:t>E. 4</w:t>
      </w:r>
    </w:p>
    <w:p>
      <w:r>
        <w:t>Comme la valeur litigieuse, calculée selon la prétention à l'ouverture de l'action ( ATF 115 II 30 consid. 5b p. 41; 100 II 358 consid. a), dépasse le seuil de 30'000 fr., la procédure n'est pas gratuite ( art. 343 al. 2 et 3 CO ). Compte tenu de l'issue du litige, les frais seront supportés par moitié par la recourante et par moitié par l'intimé ( art. 156 al. 1 et 3 OJ ). Les dépens seront compensés ( art. 159 al. 1 et 3 OJ ). L'intervenante, qui n'a pas formulé d'observations et n'est pas représentée par un avocat, ne sera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