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4P.70/2001 vom 1. Juni 2001</w:t>
      </w:r>
    </w:p>
    <w:p>
      <w:r>
        <w:t>Bundesgericht, 2001-06-01, DE</w:t>
      </w:r>
    </w:p>
    <w:p>
      <w:r>
        <w:rPr>
          <w:b/>
        </w:rPr>
        <w:t xml:space="preserve">Quelle: </w:t>
      </w:r>
      <w:r>
        <w:t>https://mcp.opencaselaw.ch/entscheid/bger_4P.70_2001</w:t>
      </w:r>
    </w:p>
    <w:p>
      <w:r>
        <w:t>FR: TF 4P.70/2001 du 1 juin 2001</w:t>
      </w:r>
    </w:p>
    <w:p>
      <w:r>
        <w:t>IT: TF 4P.70/2001 del 1 giugno 2001</w:t>
      </w:r>
    </w:p>
    <w:p>
      <w:pPr>
        <w:pStyle w:val="Heading2"/>
      </w:pPr>
      <w:r>
        <w:t>Erwägungen</w:t>
      </w:r>
    </w:p>
    <w:p>
      <w:r>
        <w:rPr>
          <w:b/>
        </w:rPr>
        <w:t>E. 1</w:t>
      </w:r>
    </w:p>
    <w:p>
      <w:r>
        <w:t>Aus der Begründung der Beschwerde ergibt sich, dass der gestellte Antrag zu weit gefasst ist und die Beschwerdeführerinnen in Wirklichkeit bloss Ziffer 3.3. des Entscheids vom 16. Februar 2001 anfechten wollen. In der Folge ist deshalb die Beschwerde so zu behandeln, als ob sie sich lediglich gegen die erwähnte Ziffer richten würde.</w:t>
      </w:r>
    </w:p>
    <w:p>
      <w:r>
        <w:rPr>
          <w:b/>
        </w:rPr>
        <w:t>E. 2</w:t>
      </w:r>
    </w:p>
    <w:p>
      <w:r>
        <w:t>Bei Entgegennahme der Klage setzt der Präsident hiezu dem Kläger eine Frist. Erfolgt der Vorschuss nicht innerhalb der festgesetzten Frist, so wird die Klageschrift nicht zugestellt und die Klage abgeschrieben; Gerichts- und Parteikosten fallen zu Lasten des Klägers.</w:t>
      </w:r>
    </w:p>
    <w:p>
      <w:r>
        <w:rPr>
          <w:b/>
        </w:rPr>
        <w:t>E. 3</w:t>
      </w:r>
    </w:p>
    <w:p>
      <w:r>
        <w:t>Bei der Zustellung der Klageschrift lädt der Präsident den Beklagten ein, einen Vorschuss in derselben Höhe innert der Antwortfrist zu leisten. Erfolgt der Vorschuss nicht innerhalb der festgesetzten Frist, so verwirkt der Beklagte sein Antwortrecht. Mit dem Begehren auf Sicherstellung und auf unentgeltliche Rechtspflege wird die Frist zur Vorschussleistung hinfällig; werden die Begehren abgewiesen oder die Sicherheiten geleistet, setzt der Präsident eine neue Frist.</w:t>
      </w:r>
    </w:p>
    <w:p>
      <w:r>
        <w:rPr>
          <w:b/>
        </w:rPr>
        <w:t>E. 4</w:t>
      </w:r>
    </w:p>
    <w:p>
      <w:r>
        <w:t>Erweist sich der Vorschuss im Verlaufe des Verfahrens als ungenügend, so lässt ihn der Präsident erhöhen. Leistet der Kläger die Nachzahlung nicht innerhalb der festgesetzten Frist, so wird die Klage abgeschrieben; Gerichts- und Parteikosten fallen zu Lasten des Klägers. Leistet der Beklagte die Nachzahlung nicht innerhalb der festgesetzten Frist, so wird seine Antwort nicht berücksichtigt.</w:t>
      </w:r>
    </w:p>
    <w:p>
      <w:r>
        <w:rPr>
          <w:b/>
        </w:rPr>
        <w:t>E. 5</w:t>
      </w:r>
    </w:p>
    <w:p>
      <w:r>
        <w:t>Beide Parteiseiten obsiegen mit ihren Anträgen etwa zur Hälfte. Das rechtfertigt es, ihnen die Gerichtsgebühr je zur Hälfte aufzuerlegen und die Parteientschädigungen wettzuschlagen ( Art. 156 Abs. 3 und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