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4P.68/2005 vom 27. Juli 2005</w:t>
      </w:r>
    </w:p>
    <w:p>
      <w:r>
        <w:t>Bundesgericht, 2005-07-27, FR</w:t>
      </w:r>
    </w:p>
    <w:p>
      <w:r>
        <w:rPr>
          <w:b/>
        </w:rPr>
        <w:t xml:space="preserve">Quelle: </w:t>
      </w:r>
      <w:r>
        <w:t>https://mcp.opencaselaw.ch/entscheid/bger_4P.68_2005</w:t>
      </w:r>
    </w:p>
    <w:p>
      <w:r>
        <w:t>FR: TF 4P.68/2005 du 27 juillet 2005</w:t>
      </w:r>
    </w:p>
    <w:p>
      <w:r>
        <w:t>IT: TF 4P.68/2005 del 27 luglio 2005</w:t>
      </w:r>
    </w:p>
    <w:p>
      <w:pPr>
        <w:pStyle w:val="Heading2"/>
      </w:pPr>
      <w:r>
        <w:t>Regeste</w:t>
      </w:r>
    </w:p>
    <w:p>
      <w:r>
        <w:t>art. 9 et 29 al. 2 Cst. (Appréciation arbitraire des preuves en procédure civile; droit d'être entendu) | Procédure civile</w:t>
      </w:r>
    </w:p>
    <w:p>
      <w:pPr>
        <w:pStyle w:val="Heading2"/>
      </w:pPr>
      <w:r>
        <w:t>Erwägungen</w:t>
      </w:r>
    </w:p>
    <w:p>
      <w:r>
        <w:rPr>
          <w:b/>
        </w:rPr>
        <w:t>E. 1</w:t>
      </w:r>
    </w:p>
    <w:p>
      <w:r>
        <w:t>Le recours de droit public porte seulement sur le bien-fondé de l'indemnité allouée à l'intimé à titre de rachat de ses options. Dans le recours en réforme interjeté parallèlement et qui a été examiné en premier lieu, en dérogation à la règle générale de l' art. 57 al. 5 OJ , la Cour de céans a confirmé la position des autorités cantonales admettant le caractère injustifié du licenciement immédiat de l'intimé. Par conséquent, le versement d'une indemnité à titre de rachat des options n'apparaît pas d'emblée exclu en raison d'un juste motif de résiliation immédiate. La présente procédure n'a donc pas perdu son objet.</w:t>
      </w:r>
    </w:p>
    <w:p>
      <w:r>
        <w:rPr>
          <w:b/>
        </w:rPr>
        <w:t>E. 2.1</w:t>
      </w:r>
    </w:p>
    <w:p>
      <w:r>
        <w:t>Le recours de droit public au Tribunal fédéral est ouvert contre une décision cantonale pour violation des droits constitutionnels des citoyens ( art. 84 al. 1 let. a OJ ). L'arrêt attaqué est final dans la mesure où la cour cantonale a statué sur le fond du litige par une décision qui n'est susceptible d'aucun autre moyen de droit sur le plan fédéral ou cantonal, s'agissant du grief de violation directe d'un droit de rang constitutionnel (art. 84 al. 2 et 86 al. 1 OJ). En revanche, si la recourante soulève une question relevant de l'application du droit fédéral, le grief n'est pas recevable, parce qu'il pouvait faire l'objet d'un recours en réforme (art. 43 al. 1 et 84 al. 2 OJ). La recourante est personnellement touchée par l'arrêt entrepris, qui la condamne à paiement. Elle a donc un intérêt personnel, actuel et juridiquement protégé à ce que cette décision n'ait pas été adoptée en violation de ses droits constitutionnels, de sorte que la qualité pour recourir ( art. 88 OJ ) doit lui être reconnue. Interjeté en temps utile (art. 32 al. 2 et 89 al. 1 OJ) et dans la forme prévue par la loi ( art. 90 al. 1 OJ ), le recours est en principe recevable.</w:t>
      </w:r>
    </w:p>
    <w:p>
      <w:r>
        <w:rPr>
          <w:b/>
        </w:rPr>
        <w:t>E. 2.2</w:t>
      </w:r>
    </w:p>
    <w:p>
      <w:r>
        <w:t>Saisi d'un recours de droit public, le Tribunal fédéral n'examine que les griefs d'ordre constitutionnel invoqués et suffisamment motivés dans l'acte de recours ( art. 90 al. 1 let. b OJ ; ATF 130 I 258 consid. 1.3 p. 261 s.; 129 I 113 consid. 2.1; 128 III 50 consid. 1c p. 53 s. et les arrêts cités). Il base son arrêt sur les faits constatés dans la décision attaquée, à moins que le recourant ne démontre que la cour cantonale a retenu ou omis certaines circonstances déterminantes de manière arbitraire ( ATF 118 Ia 20 consid. 5a).</w:t>
      </w:r>
    </w:p>
    <w:p>
      <w:r>
        <w:rPr>
          <w:b/>
        </w:rPr>
        <w:t>E. 2.6</w:t>
      </w:r>
    </w:p>
    <w:p>
      <w:r>
        <w:t>Droit d'exercice des options: chaque option octroyée à un employé bénéficiaire pourra être exercée comme suit:</w:t>
      </w:r>
    </w:p>
    <w:p>
      <w:r>
        <w:rPr>
          <w:b/>
        </w:rPr>
        <w:t>E. 2.6.1</w:t>
      </w:r>
    </w:p>
    <w:p>
      <w:r>
        <w:t>Acquisition du droit d'exercice: un employé bénéficiaire au service de la société ou d'une filiale acquiert son droit d'exercer les options octroyées en vertu de l'art. 2.2. ci-dessus selon l'échéancier et les proportions suivantes: A la date d'octroi 0% 12 mois après la date d'octroi 33.333 % (1ère date d'exercice) 24 mois après la date d'octroi 33.333% (2ème date d'exercice) 36 mois après la date d'octroi 33.333% (3ème date d'exercice) (...)</w:t>
      </w:r>
    </w:p>
    <w:p>
      <w:r>
        <w:rPr>
          <w:b/>
        </w:rPr>
        <w:t>E. 2.6.2</w:t>
      </w:r>
    </w:p>
    <w:p>
      <w:r>
        <w:t>Cessation des rapports de travail après l'acquisition de droits d'exercice (en général): Si, après la 1ère date d'exercice prévue à l'art. 2.6.1., l'employé bénéficiaire donne ou reçoit son congé, la société a l'obligation de racheter la partie des options pouvant être exercées à la date du dernier jour d'emploi conformément à l'art. 2.6.1 ci-dessus. Le prix de rachat correspond à la valeur de marché estimée des actions au jour de cessation des rapports de travail moins le prix d'exercice.</w:t>
      </w:r>
    </w:p>
    <w:p>
      <w:r>
        <w:rPr>
          <w:b/>
        </w:rPr>
        <w:t>E. 2.6.3</w:t>
      </w:r>
    </w:p>
    <w:p>
      <w:r>
        <w:t>Cessation des rapports de travail avant l'acquisition de droits d'exercice (en général): Si, avant la 1ère date d'exercice prévue à l'art. 2.6.1., l'employé bénéficiaire donne ou reçoit son congé pour une raison autre que celles prévues à l'article 1.2. alinéas (n) et (o), l'employé bénéficiaire devra renoncer aux options dont le droit d'exercice, en vertu de l'art. 2.6.1., ne lui sont pas acquis au jour de cessation des rapports de travail, de telles options étant par conséquence annulées.</w:t>
      </w:r>
    </w:p>
    <w:p>
      <w:r>
        <w:rPr>
          <w:b/>
        </w:rPr>
        <w:t>E. 2.6.4</w:t>
      </w:r>
    </w:p>
    <w:p>
      <w:r>
        <w:t>Cessation des rapports de travail pour raisons qualifiées avant l'acquisition de droits d'exercice: Si le congé est donné par la société ou une filiale pour des raisons qualifiées au sens de l'art. 1.2 alinéa (n) avant que toutes les options octroyées ne deviennent exerçables et que la cessation des rapports de travail intervient au moins 12 mois après la date d'octroi, l'employé bénéficiaire recevra en numéraire la différence entre le prix d'exercice des options octroyées non exerçables et la valeur de marché estimée des actions leur correspondant au jour de la cessation des rapports de travail. Toutefois, l'employé bénéficiaire, qui donne ou reçoit son congé pour raisons qualifiées au sens de l'art. 1.2 alinéa (n) et dont le dernier jour de travail se situe moins de 12 mois après la date d'octroi, doit renoncer aux options dont le droit d'exercice ne lui est pas acquis en vertu de l'art. 2.6.1 à la date de cessation des rapports de travail. De telles options seront par conséquence annulées. Sur la base de ce règlement, on ne parvient pas à comprendre comment la cour cantonale est parvenue à la conclusion que toutes les options dont disposait l'intimé devaient être rachetées. Les faits retenus dans l'arrêt attaqué ne permettent d'ailleurs même pas de déterminer laquelle des hypothèses visées aux art. 2.6.2 à 2.6.4 du règlement précité est applicable. En effet, on sait seulement que l'intimé s'est vu "notifier l'octroi de l'option d'acheter 3'000 actions" de la part de la recourante le 28 janvier 2002 et qu'il a été avisé de son congé avec effet immédiat le 29 juillet 2002. En revanche, on ignore si la date d'octroi des options correspond bien au 28 janvier 2002 et, par voie de conséquence, si la cessation des rapports de travail est intervenue après ou avant les 12 mois suivant la date d'octroi. On ne sait pas non plus à partir de quand l'intimé avait le droit d'exercer les options et combien d'entre elles pouvaient l'être au moment du licenciement immédiat. Il s'agit cependant d'éléments déterminants pour se prononcer sur l'obligation de rachat de la recourante. Dans ces circonstances, il apparaît que les exigences de motivation découlant de l' art. 29 al. 2 Cst. ne sont pas respectées, dès lors que la Cour de céans n'est pas en mesure de comprendre sur la base de quels éléments de fait les juges cantonaux se sont fondés pour considérer que la totalité des options dont la recourante a avisé l'intimé de l'octroi le 28 janvier 2002 donnait droit à une indemnisation. Comme l'on ne saisit pas le raisonnement suivi, il n'est pas possible de vérifier si le résultat auquel a abouti la cour cantonale est en lui-même insoutenable, ni même de déterminer si le fait d'écarter la consultation de W.________ S.A. sur ce point révèle un non-respect des règles en matière d'appréciation anticipée des preuves. L'arrêt attaqué doit donc être partiellement annulé dans la mesure où il condamne la recourante à payer à l'intimé la somme de 27'000 fr. avec intérêt à 5 % l'an dès le 29 juillet 2002, ainsi que s'agissant des frais de justice. Il appartiendra à l'autorité cantonale de se prononcer à nouveau sur la question du rachat des options en tenant compte des éléments précités et, en fonction de l'issue du litige, de procéder au besoin à une nouvelle répartition des émoluments de l'instance cantonale. Le recours, qui concluait à l'annulation de la décision entreprise dans son ensemble, doit donc être partiellement admis (cf. Kälin, Das Verfahren der staatsrechtlichen Beschwerde, 2e éd. Berne 1994, p. 399).</w:t>
      </w:r>
    </w:p>
    <w:p>
      <w:r>
        <w:rPr>
          <w:b/>
        </w:rPr>
        <w:t>E. 3</w:t>
      </w:r>
    </w:p>
    <w:p>
      <w:r>
        <w:t>Invoquant une violation des art. 9 et 29 al. 2 Cst. , la recourante reproche en substance à la cour cantonale d'avoir à la fois violé son droit à obtenir une décision motivée et procédé à une appréciation arbitraire des preuves, en ne tenant pas compte d'une consultation du 22 août 2003 émanant de W.________ S.A., sans fournir d'explication. Selon la recourante, les juges ont ainsi été amenés à commettre des erreurs grossières, d'une part en indemnisant l'intimé pour la totalité de ses options, sans distinguer les options exécutables de celles ne l'étant pas et, d'autre part, en fixant le prix de rachat des options à 9 fr. par action. Il ressort de cette motivation que les griefs d'arbitraire et de violation du droit à une décision motivée formulés par la recourante se recoupent, de sorte qu'il convient de les traiter ensemble.</w:t>
      </w:r>
    </w:p>
    <w:p>
      <w:r>
        <w:rPr>
          <w:b/>
        </w:rPr>
        <w:t>E. 3.1</w:t>
      </w:r>
    </w:p>
    <w:p>
      <w:r>
        <w:t>La jurisprudence a déduit du droit d'être entendu le devoir pour l'autorité de motiver sa décision, afin que le destinataire puisse la comprendre, l'attaquer utilement s'il y a lieu et que l'autorité de recours puisse exercer son contrôle ( ATF 129 I 232 consid. 3.2; 126 I 15 consid. 2a/aa, 97 consid. 2b). Comme le relève la recourante, le droit d'être entendu n'impose pas à l'autorité l'obligation d'exposer et de discuter tous les faits, moyens de preuve et griefs invoqués par les parties, mais elle peut au contraire se limiter à ceux qui, sans arbitraire, lui semblent pertinents ( ATF 126 I 97 consid. 2b; 121 I 54 consid. 2c p. 57 et les arrêts cités). La faculté d'écarter certains éléments de preuve ou certains griefs, sur la base d'une appréciation anticipée des preuves, n'est donc pas contraire à la Constitution (cf. ATF 125 I 127 consid. 6c/cc p. 135), pour autant que cette appréciation n'apparaisse pas arbitraire ( ATF 124 I 208 consid. 4a et les arrêts cités). Quant à l'arbitraire prohibé par l' art. 9 Cst. , il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128 I 81 consid. 2 p. 86, 273 consid. 2.1; 127 I 60 consid. 5a p. 70). 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Enfin, pour qu'une décision soit annulée pour cause d'arbitraire, il ne suffit pas que la motivation formulée soit insoutenable, il faut encore que la décision apparaisse arbitraire dans son résultat ( ATF 129 I 173 consid. 3.1 et les arrêts cités).</w:t>
      </w:r>
    </w:p>
    <w:p>
      <w:r>
        <w:rPr>
          <w:b/>
        </w:rPr>
        <w:t>E. 3.2</w:t>
      </w:r>
    </w:p>
    <w:p>
      <w:r>
        <w:t>En ce qui concerne tout d'abord le prix de rachat des options de 9 fr. retenu par la cour cantonale, les critiques de la recourante sont infondées. Il ressort de l'arrêt attaqué que, pour admettre cette valeur, la cour cantonale s'est référée au règlement du 18 janvier 2002 régissant le plan d'options en faveur de l'intimé. L'art. 1.2 de ce règlement, reproduit intégralement dans la décision entreprise, définit la valeur de marché estimée des actions en fonction de la valeur intrinsèque de l'actif net de la société, divisé par le nombre d'actions émises. Il décrit en outre les principes comptables et les ajustements à prendre en compte, afin de calculer la valeur intrinsèque de l'action à une date donnée. Or, deux fiduciaires se sont penchées sur la question et sont parvenues à la même conclusion, à savoir que le prix de rachat équivalait à 9 fr. par action. Quant à la consultation du 22 août 2003 dont se prévaut la recourante, cette dernière reconnaît qu'elle ne fixe aucun prix pour l'action, mais explique seulement les raisons pour lesquelles les options octroyées à l'intimé ne seraient pas évaluables objectivement. Dans un tel contexte, on ne voit manifestement pas en quoi la cour cantonale aurait apprécié les preuves de manière insoutenable en se fondant sur l'évaluation concordante de deux fiduciaires qui, se penchant sur les règles comptables fixées dans le règlement applicable, sont toutes les deux parvenues à un prix de rachat de 9 fr. par action. On ne peut davantage lui reprocher d'avoir procédé à une appréciation anticipée des preuves contraire à la Constitution en ne mentionnant pas la consultation du 22 août 2003, qui ne faisait état que des difficultés posées par l'évaluation, alors qu'elle avait à disposition deux autres pièces répondant clairement à la question et articulant un chiffre précis.</w:t>
      </w:r>
    </w:p>
    <w:p>
      <w:r>
        <w:rPr>
          <w:b/>
        </w:rPr>
        <w:t>E. 3.3</w:t>
      </w:r>
    </w:p>
    <w:p>
      <w:r>
        <w:t>Il reste à examiner si la cour cantonale a violé les art. 9 ou 29 al. 2 Cst. en calculant l'indemnité due à titre de rachat sur la base de l'intégralité des options octroyées à l'intimé. D'après la recourante, les juges ont commis une grossière erreur en ne distinguant pas entre les options exécutables et les autres, comme l'avait expliqué de manière claire et détaillée W.________ S.A. dans sa consultation. En ignorant cette distinction, ils se seraient manifestement trompés sur la portée des points 2.6.2 et 2.6.3 du règlement. Il est vrai que la cour cantonale a calculé l'indemnité de rachat sur la base de l'ensemble des options que la recourante a octroyées à l'intimé le 28 janvier 2002, mais sans consacrer la moindre explication à la question. Les juges semblent être partis de la prémisse que, dès lors que le licenciement immédiat n'était pas justifié, l'intimé avait droit à être indemnisé pour l'intégralité des options dont il disposait. Il ressort pourtant de l'art. 2.6 du règlement du plan d'options, adopté par l'assemblée générale le 18 janvier 2002 et applicable à l'intimé, qu'une approche plus nuancée s'impose. Cette disposition prévoit en effet les règles suivantes :</w:t>
      </w:r>
    </w:p>
    <w:p>
      <w:r>
        <w:rPr>
          <w:b/>
        </w:rPr>
        <w:t>E. 4</w:t>
      </w:r>
    </w:p>
    <w:p>
      <w:r>
        <w:t>Comme la valeur litigieuse, calculée selon la prétention à l'ouverture de l'action ( ATF 115 II 30 consid. 5b p. 41; 100 II 358 consid. a), dépasse le seuil de 30'000 fr., la procédure n'est pas gratuite ( art. 343 al. 2 et 3 CO ). Compte tenu de l'issue du litige, les frais seront supportés par moitié par la recourante et par moitié par l'intimé ( art. 156 al. 1 et 3 OJ ). Les dépens seront compensés ( art. 159 al. 1 et 3 OJ ). L'intervenante, qui n'a pas formulé d'observations et n'est pas représentée par un avocat, ne sera pas prise en considération dans la répartition des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