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4P.60/2006 vom 15. Juni 2006</w:t>
      </w:r>
    </w:p>
    <w:p>
      <w:r>
        <w:t>Bundesgericht, 2006-06-15, FR</w:t>
      </w:r>
    </w:p>
    <w:p>
      <w:r>
        <w:rPr>
          <w:b/>
        </w:rPr>
        <w:t xml:space="preserve">Quelle: </w:t>
      </w:r>
      <w:r>
        <w:t>https://mcp.opencaselaw.ch/entscheid/bger_4P.60_2006</w:t>
      </w:r>
    </w:p>
    <w:p>
      <w:r>
        <w:t>FR: TF 4P.60/2006 du 15 juin 2006</w:t>
      </w:r>
    </w:p>
    <w:p>
      <w:r>
        <w:t>IT: TF 4P.60/2006 del 15 giugno 2006</w:t>
      </w:r>
    </w:p>
    <w:p>
      <w:pPr>
        <w:pStyle w:val="Heading2"/>
      </w:pPr>
      <w:r>
        <w:t>Regeste</w:t>
      </w:r>
    </w:p>
    <w:p>
      <w:r>
        <w:t>arbitraire | Procédure civile</w:t>
      </w:r>
    </w:p>
    <w:p>
      <w:pPr>
        <w:pStyle w:val="Heading2"/>
      </w:pPr>
      <w:r>
        <w:t>Erwägungen</w:t>
      </w:r>
    </w:p>
    <w:p>
      <w:r>
        <w:rPr>
          <w:b/>
        </w:rPr>
        <w:t>E. 1</w:t>
      </w:r>
    </w:p>
    <w:p>
      <w:r>
        <w:t>A titre préalable, il y a lieu de souligner que la demande d'effet suspensif présentée par les recourantes est sans objet, en application de l' art. 54 al. 2 OJ .</w:t>
      </w:r>
    </w:p>
    <w:p>
      <w:r>
        <w:rPr>
          <w:b/>
        </w:rPr>
        <w:t>E. 2</w:t>
      </w:r>
    </w:p>
    <w:p>
      <w:r>
        <w:t>Le Tribunal fédéral examine d'office et librement la recevabilité des recours qui lui sont soumis ( ATF 132 III 291 consid. 1; 131 III 667 consid. 1 p. 668; 131 V 202 consid. 1).</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 art. 86 al. 1 OJ ), par les recourantes qui sont personnellement touchées par la décision attaquée, de sorte que la qualité pour recourir doit leur être reconnue ( art. 88 OJ ), le recours de droit public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2.3</w:t>
      </w:r>
    </w:p>
    <w:p>
      <w:r>
        <w:t>Vu la nature cassatoire du recours de droit public, sous réserve d'exceptions non réalisées en l'espèce, les conclusions qui vont au-delà de la simple demande d'annulation de l'arrêt attaqué sont irrecevables ( ATF 132 III 291 consid. 1.5; 131 I 291 consid. 1.4; 131 III 334 consid. 6 p. 343). Tel est le cas de la demande de renvoi de la cause à l'autorité cantonale pour nouvelle décision dans le sens des considérants, superflue et irrecevable.</w:t>
      </w:r>
    </w:p>
    <w:p>
      <w:r>
        <w:rPr>
          <w:b/>
        </w:rPr>
        <w:t>E. 3</w:t>
      </w:r>
    </w:p>
    <w:p>
      <w:r>
        <w:t>Invoquant l' art. 9 Cst. , les recourantes reprochent à la cour cantonale d'avoir commis arbitraire dans l'application du droit de procédure cantonal, parce qu'elle a reconnu informellement l'intervention de l'épouse de l'intimé et leur a reproché de ne pas avoir soulevé une exception à cet égard, alors qu'elle aurait dû elle-même déposer une requête formelle d'intervention. Se fondant sur l' art. 29 Cst. , les recourantes voient également dans ces circonstances la violation de leur droit d'être entendues et d'être traitées à armes égales dans le cadre de la procédure civile. En réalité, les recourantes limitent toutefois leur argumentation à l'étude de la violation arbitraire de diverses dispositions de procédure cantonale, sous l'angle de l' art. 9 Cst. , sans indiquer aucunement en quoi le grief annoncé d'atteinte à l' art. 29 Cst. aurait une portée distincte de l'interdiction de l'arbitraire selon l' art. 9 Cst. Au contraire, dans l'intitulé même de leurs moyens, elles déclarent qu'en admettant l'intervention de l'intimée "sans avoir à présenter une requête d'intervention" et en leur reprochant de ne pas avoir soulevé une exception à cet égard, "la Chambre des recours a fait une application arbitraire des règles du code de procédure civile sur l'intervention". En l'absence de motivation suffisante du moyen déduit de la violation de l' art. 29 Cst. , au sens de la jurisprudence précitée (cf. consid. 2.2), il convient d'entrer en matière uniquement sur le grief d'arbitraire dans l'application du droit cantonal, que prohibe l' art. 9 Cst.</w:t>
      </w:r>
    </w:p>
    <w:p>
      <w:r>
        <w:rPr>
          <w:b/>
        </w:rPr>
        <w:t>E. 4</w:t>
      </w:r>
    </w:p>
    <w:p>
      <w:r>
        <w:t>La jurisprudence a posé des limites quant à la faculté reconnue aux parties d'invoquer un vice de procédure, dans le temps, en application du principe de la bonne foi. Ainsi, il est inadmissible de faire valoir des moyens formels, qui auraient pu être invoqués à un stade antérieur de la procédure, uniquement plus tard, dans l'hypothèse d'une issue défavorable de celle-ci. Le comportement consistant à faire valoir un vice de procédure seulement dans le cadre du recours dirigé contre une décision - parce que celle-ci se révèle en définitive défavorable -, alors que ledit vice aurait déjà pu être signalé en cours de procédure constitue une violation du principe de la bonne et s'apparente à l'usage abusif d'un droit (cf. ATF 119 Ia 221 consid. 5a p. 228 s.; 119 II 386 consid. 1a; plus récemment arrêt 4P.256/2005 du 18 janvier 2006, consid. 2.5). Dans le cas particulier, les recourantes se sont bornées, en instance cantonale, à réserver leurs moyens de droit quant au défaut d'une requête formelle d'intervention de la part de l'épouse de l'intimé qui entendait faire valoir cette qualité de codemanderesse. Pour satisfaire aux principes rappelés ci-dessus, et notamment pour respecter celui de la bonne foi dans la conduite de la procédure, les recourantes auraient dû immédiatement soulever une exception de procédure, qui aurait amené les précédents juges à ordonner une instruction sur incident, dans le but de vider ce dernier, avant que la procédure ne soit menée à son terme sur le fond. En négligeant d'invoquer à temps cette exception, les recourantes ont porté atteinte au principe de la bonne foi et perdu, de ce fait, le droit de se plaindre d'une inobservation des règles relatives à l'intervention, ce d'autant plus qu'elles ont démontré avoir considéré comme leur partie adverse également l'intimée, lorsqu'elles ont pris des conclusions reconventionnelles contre l'intimé et cette dernière. Il s'ensuit que le recours doit être déclaré irrecevable, également, pour ce motif.</w:t>
      </w:r>
    </w:p>
    <w:p>
      <w:r>
        <w:rPr>
          <w:b/>
        </w:rPr>
        <w:t>E. 5</w:t>
      </w:r>
    </w:p>
    <w:p>
      <w:r>
        <w:t>Au demeurant, si le consid. 4 de l'arrêt entrepris devait être examiné sous l'angle de la protection contre l'arbitraire, ce moyen devrait être écarté pour les raisons suivantes.</w:t>
      </w:r>
    </w:p>
    <w:p>
      <w:r>
        <w:rPr>
          <w:b/>
        </w:rPr>
        <w:t>E. 5.1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 Lorsque la partie recourante invoque une violation arbitraire du droit cantonal, elle doit indiquer avec précision quelle est la disposition cantonale qui aurait été violée et l'examen se limite à cette question ( ATF 128 I 273 consid. 2.1 p. 275 s.). Le Tribunal fédéral ne revoit l'application du droit cantonal que sous l'angle de l'arbitraire ( ATF 131 I 217 consid. 2.1; 128 I 177 consid. 2.1; 128 II 311 consid. 2.1).</w:t>
      </w:r>
    </w:p>
    <w:p>
      <w:r>
        <w:rPr>
          <w:b/>
        </w:rPr>
        <w:t>E. 5.2</w:t>
      </w:r>
    </w:p>
    <w:p>
      <w:r>
        <w:t>Les recourantes reprochent à la cour cantonale d'avoir admis tacitement l'intervention de l'épouse de l'intimé, notamment parce que celles-là avaient pris des conclusions reconventionnelles contre cette dernière, malgré le caractère indépendant des conclusions reconventionnelles par rapport aux conclusions principales. En droit vaudois, l'inexistence d'une partie peut constituer à la fois un moyen de procédure, qui doit être invoqué conformément à l'art. 142 du code de procédure civile du canton de Vaud du 14 décembre 1966 (ci-après: CPC/VD), c'est-à-dire dans le délai de réponse par le défendeur, sous peine de déchéance, et un moyen de fond (défaut de légitimation), qui doit être tranché dans le jugement au fond (Poudret/Haldy/Tappy, Procédure civile vaudoise, 3e éd., Lausanne 2002, n. 3 ad art. 138 CPC /VD). En concluant qu'il n'y avait pas eu de défaut de qualité pour agir de l'intimée, et que les propriétaires en main commune avaient agi conjointement, la Chambre des recours s'est prononcée sur cette question, qui n'a pas fait formellement l'objet d'une contestation de la part des recourantes, lesquelles s'étaient seulement limitées à réserver leurs moyens de droit à cet égard. Toutefois, saisie par les intimés d'un recours contre la décision du Tribunal civil de l'arrondissement de Z.________ le défaut de qualité pour agir, vu la consorité nécessaire des propriétaires en main commune, la dernière instance cantonale s'est déterminée sur ce problème dans son jugement sur le fond, par lequel elle a réformé celui des premiers juges. Or, comme les recourantes n'avaient pas soulevé une exception de procédure, devoir qui leur incombait aux termes de l' art. 138 al. 1 CPC /VD, le juge ne pouvait pas statuer séparément et "prononcer l'éconduction d'instance", mais il a tranché le problème de la légitimation active avec le fond, conformément à la jurisprudence cantonale (cf. la référence citée par Poudret/Haldy/Tappy, op. cit., n. 3 ad art. 138 CPC /VD). Un tel procédé ne paraît pas manifestement insoutenable, en raison notamment du droit de procédure vaudois qui n'impose pas aux juges de contrôler d'office les conditions de recevabilité du procès (Poudret/Haldy/Tappy, op. cit., n. 1 ad art. 138 CPC /VD), ce qui commande d'écarter le grief tiré de la violation de l' art. 9 Cst.</w:t>
      </w:r>
    </w:p>
    <w:p>
      <w:r>
        <w:rPr>
          <w:b/>
        </w:rPr>
        <w:t>E. 6</w:t>
      </w:r>
    </w:p>
    <w:p>
      <w:r>
        <w:t>En définitive, le recours de droit public doit donc être rejeté dans la mesure de sa recevabilité.</w:t>
      </w:r>
    </w:p>
    <w:p>
      <w:r>
        <w:rPr>
          <w:b/>
        </w:rPr>
        <w:t>E. 7</w:t>
      </w:r>
    </w:p>
    <w:p>
      <w:r>
        <w:t>Compte tenu de l'issue du litige, les frais et dépens seront mis à la charge des recourantes, solidairement entre elles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