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4P.60/2002 vom 18. Juni 2002</w:t>
      </w:r>
    </w:p>
    <w:p>
      <w:r>
        <w:t>Bundesgericht, 2002-06-18, FR</w:t>
      </w:r>
    </w:p>
    <w:p>
      <w:r>
        <w:rPr>
          <w:b/>
        </w:rPr>
        <w:t xml:space="preserve">Quelle: </w:t>
      </w:r>
      <w:r>
        <w:t>https://mcp.opencaselaw.ch/entscheid/bger_4P.60_2002</w:t>
      </w:r>
    </w:p>
    <w:p>
      <w:r>
        <w:t>FR: TF 4P.60/2002 du 18 juin 2002</w:t>
      </w:r>
    </w:p>
    <w:p>
      <w:r>
        <w:t>IT: TF 4P.60/2002 del 18 giugno 2002</w:t>
      </w:r>
    </w:p>
    <w:p>
      <w:pPr>
        <w:pStyle w:val="Heading2"/>
      </w:pPr>
      <w:r>
        <w:t>Erwägungen</w:t>
      </w:r>
    </w:p>
    <w:p>
      <w:r>
        <w:rPr>
          <w:b/>
        </w:rPr>
        <w:t>E. 1</w:t>
      </w:r>
    </w:p>
    <w:p>
      <w:r>
        <w:t>L'intimée soutient que, comme le recourant présente une argumentation presque identique dans son recours de droit public et dans son recours en réforme, les deux recours devraient être déclarés irrecevables.</w:t>
      </w:r>
    </w:p>
    <w:p>
      <w:r>
        <w:rPr>
          <w:b/>
        </w:rPr>
        <w:t>E. 1.1</w:t>
      </w:r>
    </w:p>
    <w:p>
      <w:r>
        <w:t>Il est vrai que, conformément à la jurisprudence citée par l'intimée, le Tribunal fédéral a qualifié d'abusif le procédé consistant à déposer deux recours, dans des écritures certes distinctes, mais en mélangeant les griefs propres à une voie de droit avec ceux propres à une autre voie ( ATF 116 II 92 consid. 1; 115 II 396 consid. 2a). Il ne faut pour autant pas en déduire que deux recours sont irrecevables du seul fait qu'ils ont la même motivation. Il ne sera pas entré en matière que si, en raison du mélange des griefs soulevés, les arguments avancés à l'appui des deux recours apparaissent enchevêtrés les uns aux autres, peu compréhensibles ni logiquement ordonnés (arrêt 4C.39/1989 du 29 avril 1991, résumé in SJ 1993 p. 373, consid. 1a non publié).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w:t>
      </w:r>
    </w:p>
    <w:p>
      <w:r>
        <w:rPr>
          <w:b/>
        </w:rPr>
        <w:t>E. 1.2</w:t>
      </w:r>
    </w:p>
    <w:p>
      <w:r>
        <w:t>Eu égard à ces principes, la recevabilité des deux recours doit être admise malgré leur similitude. En effet, dans son recours de droit public, le recourant se plaint d'arbitraire dans l'appréciation des preuves. Dans le recours en réforme, il reprend certes ces critiques, mais en rapport avec les art. 63, 64 et 51 al. 1 let . c OJ. Même si un tel grief ne peut être soulevé dans le cadre d'un recours en réforme, il ne saurait entraîner pour autant l'irrecevabilité du même grief, formulé correctement dans le recours de droit public (cf. arrêt 4C.117/1993 du 14 décembre 1993, in SJ 1994 p. 600, consid. 1). Ce raisonnement s'applique également lorsque le recourant s'en prend à la notion de défaut de la chose louée dans son recours de droit public et qu'il invoque à ce propos une violation du droit fédéral dans son recours en réforme. Par conséquent, même si les griefs soulevés parallèlement dans les deux recours sont tantôt recevables dans l'une, tantôt dans l'autre voie de droit, on ne peut en conclure à un usage abusif des deux moyens de droit.</w:t>
      </w:r>
    </w:p>
    <w:p>
      <w:r>
        <w:rPr>
          <w:b/>
        </w:rPr>
        <w:t>E. 2</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Tel est le cas, entre autres hypothèses, lorsqu'une constatation de fait critiquée dans le recours de droit public est dénuée de pertinence en droit; il faut alors en débattre préjudiciellement lors de l'examen du recours en réforme ( ATF 117 II 630 consid. 1a).</w:t>
      </w:r>
    </w:p>
    <w:p>
      <w:r>
        <w:t>Dans son recours de droit public, le recourant reproche à la chambre des recours de ne pas avoir retenu comme pertinents toute une série d'éléments de fait, pourtant prépondérants selon lui, pour statuer sur l'existence des défauts de la chose louée. Il ressort de l'arrêt attaqué que la pertinence de ces éléments a été écartée, non parce qu'en droit ils ne pouvaient s'avérer déterminants, mais en raison des circonstances particulières du cas d'espèce. C'est donc pour des motifs liés aux faits de la cause que les éléments invoqués par le recourant ont été considérés comme dénués de pertinence. L'examen de ce grief relève ainsi de l'appréciation des preuves et ne justifie pas de déroger au principe de l' art. 57 al. 5 OJ , de sorte qu'il sera tout d'abord statué sur le recours de droit public.</w:t>
      </w:r>
    </w:p>
    <w:p>
      <w:r>
        <w:rPr>
          <w:b/>
        </w:rPr>
        <w:t>E. 3</w:t>
      </w:r>
    </w:p>
    <w:p>
      <w:r>
        <w:t>Invoquant une violation de l' art. 9 Cst. , le recourant se plaint exclusivement d'arbitraire dans l'appréciation des preuves.</w:t>
      </w:r>
    </w:p>
    <w:p>
      <w:r>
        <w:rPr>
          <w:b/>
        </w:rPr>
        <w:t>E. 3.1</w:t>
      </w:r>
    </w:p>
    <w:p>
      <w:r>
        <w:t>Selon la jurisprudence, l'arbitraire, prohibé par l'article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évidente avec la situation de fait, qu'elle viole gravement une norme ou un principe juridique clair et indiscuté ou encore lorsqu'elle heurte de manière choquante le sentiment de la justice et de l'équité ( ATF 127 I 60 consid. 5a p. 70; 126 III 438 consid. 3 p. 440). Pour qu'une décision soit annulée pour cause d'arbitraire, il ne suffit pas que la motivation formulée soit insoutenable, il faut encore que la décision apparaisse arbitraire dans son résultat ( ATF 127 I 38 consid. 2a p. 41, 54 consid. 2b p. 56; 126 I 166 consid. 2a).</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w:t>
      </w:r>
    </w:p>
    <w:p>
      <w:r>
        <w:rPr>
          <w:b/>
        </w:rPr>
        <w:t>E. 3.2</w:t>
      </w:r>
    </w:p>
    <w:p>
      <w:r>
        <w:t>Le recourant, dans une argumentation quelque peu contradictoire, reproche au tribunal cantonal d'avoir, de manière insoutenable, d'une part omis de mentionner des faits régulièrement allégués et prouvés qui revêtiraient un caractère décisif dans l'appréciation des défauts de la chose louée et, d'autre part, refusé d'admettre la pertinence de ces éléments. Ces derniers, longuement énumérés dans le recours, concernent tous l'ami de la fille des voisins et tendent à établir en substance que celui-ci consommait de la drogue, qu'il avait résidé jusqu'en juin 1999 dans l'immeuble en cause et qu'il était responsable de nombreux incidents et déprédations dont le recourant s'était plaint à la gérance.</w:t>
      </w:r>
    </w:p>
    <w:p>
      <w:r>
        <w:t>Il ressort de l'arrêt entrepris que la pertinence de ces éléments a été examinée dans le cadre d'une demande de complément d'instruction formée par le recourant. L'autorité de recours a refusé de donner suite à cette requête, relevant en substance que l'état de fait résultant du jugement de première instance était conforme aux pièces produites et qu'il n'y avait pas lieu de retenir d'autres faits provenant du dossier pénal concernant l'ami de la fille des voisins que ceux constatés par ce jugement. On ne voit manifestement pas en quoi cette appréciation serait arbitraire, dès lors que l'arrêt attaqué, qui se fonde sur les faits retenus en première instance, contient déjà tous les éléments concernant l'ami de la fille des voisins dont cherche à se prévaloir le recourant dans son mémoire. Seuls manquent quelques détails qui n'apparaissent pas déterminants, comme des soupçons dont on ne peut à l'évidence pas reprocher aux juges de ne pas avoir tenu compte, de même que des indications concernant les traits de caractère et les relations personnelles qu'entretenait cet individu avec les autres membres de la famille de son amie qui, à l'évidence ne sont d'aucun intérêt, comme il l'a du reste été souligné dans l'arrêt attaqué. Le recourant ne peut donc être suivi lorsqu'il soutient que la chambre des recours n'a arbitrairement pas retenu toute une série de faits allégués et prouvés.</w:t>
      </w:r>
    </w:p>
    <w:p>
      <w:r>
        <w:t>Il reste à se demander si c'est de manière insoutenable que la chambre des recours a considéré que les faits relatifs au comportement de l'ami de la fille des voisins n'étaient pas pertinents eu égard aux circonstances.</w:t>
      </w:r>
    </w:p>
    <w:p>
      <w:r>
        <w:t>La lecture de l'arrêt entrepris fait apparaître que le tribunal cantonal, reprenant les constatations des premiers juges, n'a pas occulté l'existence des incidents liés à l'ami de la fille des voisins avec lesquels le recourant était en conflit, ni l'attitude peu amène de celui-ci, mais il a envisagé ces faits dans le contexte général des relations entre le recourant et cette famille. Il a ainsi été retenu que les tensions dans les rapports de voisinage existant entre le recourant et ses voisins de pallier résultaient de provocations réciproques entre deux familles ayant une conception différente de la vie et qu'il s'agissait d'un problème d'ordre humain, sans relation avec l'usage de la chose louée. Quant aux incidents, tels que les traces d'huile dans la boîte aux lettres, le stationnement à une occasion</w:t>
      </w:r>
    </w:p>
    <w:p>
      <w:r>
        <w:t>du véhicule de l'ami sur la place du fils du recourant et à plusieurs reprises sur les emplacements marqués d'une croix jaune, ils ont été qualifiés de très mineurs.</w:t>
      </w:r>
    </w:p>
    <w:p>
      <w:r>
        <w:t>Dès lors que le recourant ne critique en aucune manière ces constatations de fait, il y a lieu de les tenir pour établies. Or, dans un contexte pareil, fait de tensions et de provocations réciproques entre deux familles voisines ne partageant pas le même mode de vie, on ne peut faire grief à la chambre des recours d'être tombée dans l'arbitraire en considérant qu'il n'était pas pertinent de déterminer si les incidents et les inconvénients subis par le recourant provenaient en réalité de l'ami de la fille de ses voisins, sur qui les difficultés se seraient concentrées.</w:t>
      </w:r>
    </w:p>
    <w:p>
      <w:r>
        <w:rPr>
          <w:b/>
        </w:rPr>
        <w:t>E. 3.3</w:t>
      </w:r>
    </w:p>
    <w:p>
      <w:r>
        <w:t>Le recourant prétend encore qu'en refusant le complément de preuves concernant l'ami de la fille de ses voisins, les juges cantonaux auraient adopté une conception erronée de la notion de défaut de la chose louée.</w:t>
      </w:r>
    </w:p>
    <w:p>
      <w:r>
        <w:t>Comme on vient de le voir, c'est en raison des éléments de fait réunis en l'espèce que la chambre des recours n'a pas accordé l'importance qu'aurait souhaitée le recourant au comportement de l'ami en question et son appréciation ne saurait être qualifiée d'arbitraire. Déterminer si les juges ont adopté une conception correcte du défaut de la chose louée au sens des art. 259 ss CO en refusant les prétentions du recourant dans ces circonstances, relève de l'application du droit fédéral. Un tel grief n'est donc pas recevable eu égard au principe de subsidiarité du recours de droit public ( art. 84 al. 2 OJ ), dès lors que la voie du recours en réforme est, en l'occurrence, ouverte ( art. 43 al. 1 OJ ; cf. ATF 126 III 445 consid. 3b). Comme le recourant a aussi usé de cette seconde voie de droit pour former le même grief, celui-ci sera examiné dans le cadre de la procédure de réforme.</w:t>
      </w:r>
    </w:p>
    <w:p>
      <w:r>
        <w:t>Le recours de droit public doit ainsi être rejeté dans la mesure où il est recevable.</w:t>
      </w:r>
    </w:p>
    <w:p>
      <w:r>
        <w:rPr>
          <w:b/>
        </w:rPr>
        <w:t>E. 4</w:t>
      </w:r>
    </w:p>
    <w:p>
      <w:r>
        <w:t>Le recourant, qui succombe, supportera les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