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4P.52/2000 vom 29. Juni 2000</w:t>
      </w:r>
    </w:p>
    <w:p>
      <w:r>
        <w:t>Bundesgericht, 2000-06-29, FR</w:t>
      </w:r>
    </w:p>
    <w:p>
      <w:r>
        <w:rPr>
          <w:b/>
        </w:rPr>
        <w:t xml:space="preserve">Quelle: </w:t>
      </w:r>
      <w:r>
        <w:t>https://mcp.opencaselaw.ch/entscheid/bger_4P.52_2000</w:t>
      </w:r>
    </w:p>
    <w:p>
      <w:r>
        <w:t>FR: TF 4P.52/2000 du 29 juin 2000</w:t>
      </w:r>
    </w:p>
    <w:p>
      <w:r>
        <w:t>IT: TF 4P.52/2000 del 29 giugno 2000</w:t>
      </w:r>
    </w:p>
    <w:p>
      <w:pPr>
        <w:pStyle w:val="Heading2"/>
      </w:pPr>
      <w:r>
        <w:t>Erwägungen</w:t>
      </w:r>
    </w:p>
    <w:p>
      <w:r>
        <w:rPr>
          <w:b/>
        </w:rPr>
        <w:t>E. 1</w:t>
      </w:r>
    </w:p>
    <w:p>
      <w:r>
        <w:t>a) Eu égard à la nature cassatoire du recours de droit public ( ATF 125 II 86 consid. 5a; 124 I 231 consid. 1d; 123 I 87 consid. 5), le chef de conclusions tendant au renvoi de la cause est superfétatoire ( ATF 112 Ia 353 consid. 3c/bb).</w:t>
      </w:r>
    </w:p>
    <w:p>
      <w:r>
        <w:t>b) 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et l'application arbitraire du droit fédéral dans une cause dont la valeur litigieuse est inférieure à 8000 fr. ( art. 46 OJ ), de sorte que la règle de la subsidiarité du recours de droit public est respectée (art. 84 al. 2, 86 al. 1 et 87 OJ).</w:t>
      </w:r>
    </w:p>
    <w:p>
      <w:r>
        <w:t>La recourante est personnellement touchée par la décision attaquée, qui rejette ses conclusions en paiement, de sorte qu'elle a un intérêt personnel, actuel et juridiquement protégé à ce que cette décision n'ait pas été prise en violation de ses droits constitutionnels; en conséquence, elle a qualité pour recourir ( art. 88 OJ ).</w:t>
      </w:r>
    </w:p>
    <w:p>
      <w:r>
        <w:t>c) En instance de recours de droit public, le Tribunal fédéral n'examine que les griefs exposés de manière assez claire et détaillée pour qu'il puisse déterminer quel est le droit constitutionnel dont l'application est en jeu.</w:t>
      </w:r>
    </w:p>
    <w:p>
      <w:r>
        <w:t>Le recourant ne saurait se contenter de soulever de vagues griefs ou de renvoyer aux actes cantonaux. En partant de l'arrêt attaqué, la partie recourante doit indiquer quels sont les droits constitutionnels dont la violation est invoquée et, pour chacun d'eux, expliquer avec précision en quoi consiste la violation; ce n'est qu'à ces conditions qu'il est possible d'entrer en matière ( art. 90 al. 1 let. b OJ ; ATF 125 I 492 consid. 1b et les références; cf. également ATF 110 Ia 1 consid. 2a).</w:t>
      </w:r>
    </w:p>
    <w:p>
      <w:r>
        <w:rPr>
          <w:b/>
        </w:rPr>
        <w:t>E. 2</w:t>
      </w:r>
    </w:p>
    <w:p>
      <w:r>
        <w:t>La recourante se prévaut de deux droits constitutionnels des citoyens ( art. 9 et 29 al. 2 Cst. ). Dans ce cadre, il faut contrôler si la cour cantonale, en rendant sa décision le 6 octobre 1999, a respecté les droits constitutionnels qui étaient alors en vigueur. C'est donc à tort que la recourante s'est référée aux dispositions de la nouvelle Constitution fédérale, qui n'est entrée en vigueur que le 1er janvier 2000. En effet, la cour cantonale n'avait pas à tenir compte de dispositions qui n'étaient pas encore en force, si bien que la recourante ne peut pas lui reprocher de les avoir violées.</w:t>
      </w:r>
    </w:p>
    <w:p>
      <w:r>
        <w:t>Cette erreur reste cependant sans conséquence, puisque les griefs articulés sont suffisamment clairs pour que l'on puisse comprendre quels sont les droits constitutionnels qui auraient été prétendument transgressés.</w:t>
      </w:r>
    </w:p>
    <w:p>
      <w:r>
        <w:rPr>
          <w:b/>
        </w:rPr>
        <w:t>E. 3</w:t>
      </w:r>
    </w:p>
    <w:p>
      <w:r>
        <w:t>La recourante prétend essentiellement que la cour cantonale a appliqué arbitrairement des dispositions de droit fédéral.</w:t>
      </w:r>
    </w:p>
    <w:p>
      <w:r>
        <w:t>Selon la jurisprudence, l'arbitraire, prohibé par l' art. 4 aCst.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w:t>
      </w:r>
    </w:p>
    <w:p>
      <w:r>
        <w:t>a) aa) La recourante allègue que la Chambre des recours a considéré arbitrairement que l' art. 6 let . e du règlement des crédits privés de la Banque Migros S.A. n'entrait pas dans le champ d'application de la LCA au motif qu'un des cinq critères caractéristiques de l'opération d'assurance tels qu'ils ont été définis par la jurisprudence et la doctrine ferait en l'occurrence défaut. A l'en croire, l'examen du rapport interne entre les prestations promises par les cocontractants pourrait conduire à soumettre le rapport de droit à cette loi fédérale, quand bien même le critère de l'autonomie de l'opération ne serait pas rempli. De toute manière, l'art. 6 du règlement en question serait rédigé comme un contrat d'assurance, dès l'instant où y seraient définis et le risque assuré, et la couverture, son étendue et sa durée, et la perte de ce droit. Les magistrats vaudois auraient d'ailleurs dû prendre en compte la publicité émise par la Banque Migros S.A., qui mettait l'accent sur la protection octroyée à l'emprunteur "en cas de difficultés". La solution retenue par la cour cantonale aurait pour résultat que plus l'emprunteur serait victime d'un accident ou d'une maladie grave, moins il serait à même de satisfaire aux exigences de l' art. 6 let . e pour être libéré du versement des primes; cette manière de voir serait clairement contraire à l'esprit de protection de la LCA, en particulier de son art. 45. La demanderesse prétend encore que refuser in casu l'application de la LCA contreviendrait à l'esprit du législateur, lequel a entendu protéger celui à qui est octroyé un petit crédit par l'adoption de la loi fédérale sur le crédit à la consommation (LCC; RS 221. 214.1).</w:t>
      </w:r>
    </w:p>
    <w:p>
      <w:r>
        <w:t>bb) Ni la LCA, ni la loi fédérale du 23 juin 1978 sur la surveillance des institutions d'assurance privées (LSA; RS 961. 01) ne donnent une définition de l'assurance.</w:t>
      </w:r>
    </w:p>
    <w:p>
      <w:r>
        <w:t>Pour déterminer les opérations soumises à la surveillance de la Confédération, la jurisprudence constante du Tribunal fédéral (cf. ATF 114 Ib 244 consid. 4a; 107 Ib 54 consid. 1b; 76 I 362 consid. 3; 58 I 256 consid. 2) a posé que les éléments essentiels de la notion d'assurance sont au nombre de cinq. Ce sont:</w:t>
      </w:r>
    </w:p>
    <w:p>
      <w:r>
        <w:t>a) le risque, b) la prestation de l'assuré (prime tarifaire selon la LCA), c) la prestation de l'assureur, d) le caractère autonome de l'opération, e) la compensation des risques conformément aux données de la</w:t>
      </w:r>
    </w:p>
    <w:p>
      <w:r>
        <w:t>statistique (exploitation selon un plan).</w:t>
      </w:r>
    </w:p>
    <w:p>
      <w:r>
        <w:t>Ces caractéristiques que doit présenter un contrat d'assurance au sens où l'entend la LCA sont approuvées par la doctrine (Hans Roelli/Max Keller, Kommentar zum Bundesgesetz über den Versicherungsvertrag, tome I, 2e. éd., 1968, p. 13 à 21; Willy Koenig, Der Versicherungsvertrag, Traité de droit privé suisse, VII/2, p. 491 et la note 5; Moritz Kuhn/Pascal Montavon, Droit des assurances privées, p. 91 et la note 2; Bernard Viret, Droit des assurances privées, 3e éd., p. 25; plus réservé sur le critère de la prestation de l'assuré, Alfred Maurer, Schweizerisches Privatversicherungsrecht, 3e éd., p. 94 et 185/186).</w:t>
      </w:r>
    </w:p>
    <w:p>
      <w:r>
        <w:t>C'est donc sans le moindre arbitraire que les juges cantonaux se sont référés à ces critères.</w:t>
      </w:r>
    </w:p>
    <w:p>
      <w:r>
        <w:t>cc) Il convient notamment de contrôler si le contrat de prêt signé le 8 janvier 1990 par Marc-Henri Kocher prévoyait que ce dernier versât une prestation pécuniaire en contrepartie de la prise en charge d'un risque par les intimées.</w:t>
      </w:r>
    </w:p>
    <w:p>
      <w:r>
        <w:t>Le montant de la prime est déterminé lors de la conclusion du contrat d'assurance. La prime d'assurance constitue l'un des éléments essentiels d'un tel contrat (Roelli/Keller, op. cit. , p. 17; Viret, op. cit. , p. 112; Kuhn/Montavon, op. cit. , p. 118/119). Maurer (op. cit. , p. 185/186) envisage certes l'hypothèse où la prestation d'assurance est octroyée gratuitement ("geschenkte" Versicherungsverträge), mais il décrit des situations très particulières (jubilé d'une association, contrats d'assurance-accidents conclus par l'assureur avec des filiales d'un client), qui n'ont rien à voir avec la présente cause.</w:t>
      </w:r>
    </w:p>
    <w:p>
      <w:r>
        <w:t>Il n'est pas nécessaire que figure dans le contrat le montant chiffré de la prime. Il suffit que la prime puisse être déterminée objectivement (renvoi à un tarif donné de l'assureur ou à une classe de risques, pourcentage du salaire de l'assuré, part de son chiffre d'affaires, etc.) (Roelli/Keller, op. cit. , p. 17 s. et la note 6; Kuhn/Montavon, op. cit. , p. 119).</w:t>
      </w:r>
    </w:p>
    <w:p>
      <w:r>
        <w:t>En l'espèce, le contrat de prêt litigieux ne spécifie nullement que sur les 11,25 % d'intérêts dus sur le capital à rembourser aux défenderesses, l'emprunteur participe à raison d'un quelconque pourcentage au paiement de primes d'assurance décès et invalidité à la suite d'une maladie ou d'un accident. Le règlement des crédits privés de la Banque Migros S.A. est également muet sur ce point. En l'absence de toute référence à un tarif de primes, il n'est pas possible de déduire d'éléments objectifs la prestation de l'assuré.</w:t>
      </w:r>
    </w:p>
    <w:p>
      <w:r>
        <w:t>Partant, un des éléments essentiels de la notion jurisprudentielle de l'assurance soumise à la LCA fait d'emblée défaut.</w:t>
      </w:r>
    </w:p>
    <w:p>
      <w:r>
        <w:t>dd) Mais il y a plus. Comme l'a retenu sans arbitraire l'autorité cantonale, le rapport d'assurance convenu entre Marc-Henri Kocher et les intimées ne présente pas le caractère d'autonomie exigé par la jurisprudence fédérale.</w:t>
      </w:r>
    </w:p>
    <w:p>
      <w:r>
        <w:t>Le contrat d'assurance fondé sur la LCA peut comprendre des clauses contractuelles relatives à d'autres rapports juridiques. L'autonomie est consacrée lorsque la prise en charge du risque par l'assureur est l'élément essentiel du contrat et ne constitue pas une des modalités ou une clause accessoire d'un contrat principal. C'est le rapport interne entre les diverses prestations promises qui permettra d'en juger ( ATF 114 Ib 244 consid. 4c et les arrêts cités; cf.</w:t>
      </w:r>
    </w:p>
    <w:p>
      <w:r>
        <w:t>not. Roelli/Keller, op. cit. , p. 20 s.; Kuhn/Montavon, op.</w:t>
      </w:r>
    </w:p>
    <w:p>
      <w:r>
        <w:t>cit. , p. 124 à 126).</w:t>
      </w:r>
    </w:p>
    <w:p>
      <w:r>
        <w:t>In casu, il n'était pas insoutenable d'admettre que, dans l'analyse globale de la convention passée le 8 janvier 1990, l'art. 6 du règlement des crédits privés devait être qualifié de clause additionnelle au contrat de prêt, ce qui exclut l'existence d'un contrat d'assurance au sens de la LCA. De fait, cette clause n'était même pas incorporée à ladite convention. Elle ne constituait qu'une des onze clauses du règlement en cause de la banque défenderesse, lequel était remis à l'emprunteur lors de la conclusion du prêt. Du reste, le développement de la concurrence entre établissements bancaires a eu pour résultat que de tels engagements du prêteur sont devenus usuels dans le domaine des petits crédits, comme la recourante l'admet elle-même dans son acte de recours (ch.</w:t>
      </w:r>
    </w:p>
    <w:p>
      <w:r>
        <w:t>III let. c in fine). Autrement dit, la libération du paiement des primes en cas de décès ou d'invalidité de l'emprunteur n'a pas de caractère autonome.</w:t>
      </w:r>
    </w:p>
    <w:p>
      <w:r>
        <w:t>Quant à la publicité de la Banque Migros S.A., elle est évidemment secondaire par rapport au texte du contrat signé, qui seul exprime les volontés déclarées des parties contractantes.</w:t>
      </w:r>
    </w:p>
    <w:p>
      <w:r>
        <w:t>La recourante invoque en pure perte la LCC, dès lors que cette loi est entrée en vigueur le 1er avril 1994, soit plus de quatre ans après la conclusion du prêt.</w:t>
      </w:r>
    </w:p>
    <w:p>
      <w:r>
        <w:t>Dans ces conditions, le grief d'application arbitraire de la LCA, et singulièrement de son art. 45, tombe à faux</w:t>
      </w:r>
    </w:p>
    <w:p>
      <w:r>
        <w:t>b) aa) La recourante soutient que la cour cantonale n'a arbitrairement pas fait application de l' art. 8 LCD . A son sentiment, il est peu probable que, lors de la signature du prêt, l'emprunteur ait réalisé les restrictions imposées à son droit à la couverture pour solde de dette. Compte tenu en particulier de la publicité émise par la Banque Migros S.A., Marc-Henri Kocher pouvait partir de l'idée qu'il serait pleinement protégé en cas de maladie et d'accident, sans devoir respecter les conditions instaurées par l' art. 6 let . e du règlement des crédits privés.</w:t>
      </w:r>
    </w:p>
    <w:p>
      <w:r>
        <w:t>bb) Aux termes de l' art. 8 LCD , agit de façon déloyale celui qui, notamment, utilise des conditions générales préalablement formulées, qui sont de nature à provoquer une erreur au détriment d'une partie contractante et qui (let. a) dérogent notablement au régime légal applicable directement ou par analogie, ou (let. b) prévoient une répartition des droits et des obligations s'écartant notablement de celle qui découle de la nature du contrat. Selon la jurisprudence, l'exigence de conditions générales qui soient de nature à provoquer une erreur vaut aussi bien dans l'hypothèse prévue à la lettre a que dans celle visée à la lettre b. L' art. 8 LCD n'est ainsi pas applicable lorsque la seule hypothèse de la lettre a ou de la lettre b est réalisée, à l'exclusion de la condition posée préalablement. L'aptitude à induire en erreur peut tenir à la formulation des conditions générales, à leur situation dans le texte ou à leur présentation graphique ( ATF 117 II 332 consid. 5a; arrêt du 5 août 1997 dans la cause 4C.538/1996 consid. 2a, reproduit in: Pra 1998 9 53).</w:t>
      </w:r>
    </w:p>
    <w:p>
      <w:r>
        <w:t>Examiné sous cet angle, il appert que l'art. 6 du règlement des crédits privés de la Banque Migros S.A. n'est pas rédigé de manière ambiguë. Il en ressort clairement que la couverture pour solde de dette de la let. a, accordée à l'emprunteur, après un délai d'attente de trente jours, en cas d'incapacité de travail totale due à une maladie ou à un accident, devient caduque lorsque ce dernier n'adresse aucune communication à la banque au plus tard 40 jours après le début de son entière incapacité de travail attestée par un médecin.</w:t>
      </w:r>
    </w:p>
    <w:p>
      <w:r>
        <w:t>A la lecture de cette clause, il ne peut échapper à l'emprunteur que la libération du paiement des mensualités tombe s'il n'informe pas l'établissement bancaire de son état de santé dans le délai précité. Pour ce qui est de sa localisation, la clause n'est pas de nature à égarer l'emprunteur, du moment qu'elle est située au coeur même du règlement dans sa version française, dont elle représente du reste plus de la moitié du contenu. En ce qui concerne la typographie, la Banque Migros S.A. a mis en évidence, par l'utilisation de caractères gras, tant le titre de la let. a, qui donne le principe de la couverture, que celui de la let. e, qui en décrit les limites.</w:t>
      </w:r>
    </w:p>
    <w:p>
      <w:r>
        <w:t>Il suit de là que la condition préalable posée par l' art. 8 LCD n'est pas réalisée dans le cas présent, si bien que l'art. 6 du règlement des crédits privés de la banque défenderesse ne saurait être assimilé à des conditions commerciales abusives au sens de cette disposition.</w:t>
      </w:r>
    </w:p>
    <w:p>
      <w:r>
        <w:t>Comme les conditions d'application de l' art. 8 LCD ne sont pas remplies, il importe peu, au regard du droit de la concurrence, que Marc-Henri Kocher ait mal compris la clause, au demeurant claire, du règlement en question, dont il a déclaré approuver le contenu en signant le contrat de prêt.</w:t>
      </w:r>
    </w:p>
    <w:p>
      <w:r>
        <w:t>A propos des méthodes de publicité utilisées par la Banque Migros S.A., la recourante n'a jamais prétendu qu'elles étaient déloyales (cf. art. 3 let. b et l LCD).</w:t>
      </w:r>
    </w:p>
    <w:p>
      <w:r>
        <w:t>cc) Il est constaté en fait - et l'arbitraire n'a pas été démontré ( art. 90 al. 1 let. b OJ ) - que Marc-Henri Kocher était en état en novembre et décembre 1992 de renseigner sur sa santé, comme l' art. 6 let . e du règlement des crédits privés l'exigeait sans ambiguïté. Il n'a toutefois pas donné l'avis requis dans les 40 jours après qu'il a été totalement incapable de travailler. L'arrêt attaqué n'est donc nullement arbitraire dans son résultat lorsqu'il retient que l'intéressé n'a pas satisfait aux conditions de l'art. 6 de ce règlement.</w:t>
      </w:r>
    </w:p>
    <w:p>
      <w:r>
        <w:t>Le moyen est privé de fondement.</w:t>
      </w:r>
    </w:p>
    <w:p>
      <w:r>
        <w:rPr>
          <w:b/>
        </w:rPr>
        <w:t>E. 4</w:t>
      </w:r>
    </w:p>
    <w:p>
      <w:r>
        <w:t>La recourante reproche aux juges cantonaux de n'avoir pas examiné la publicité distribuée par la Banque Migros S.A., ni le lien existant entre cette publicité et le contrat de prêt. Pour n'avoir pas indiqué les motifs en vertu desquels cet aspect de la question a été écarté, ces magistrats auraient violé l'obligation qui leur incombe de motiver leur décision.</w:t>
      </w:r>
    </w:p>
    <w:p>
      <w:r>
        <w:t>a) La jurisprudence a déduit du droit d'être entendu, découlant de l' art. 4 aCst. , le devoir pour l'autorité de motiver sa décision, afin que le destinataire puisse la comprendre, l'attaquer utilement s'il y a lieu et que l'autorité de recours puisse exercer son contrôle ( ATF 125 II 369 consid. 2c; 124 II 146 consid. 2a; 124 V 180 consid. 1a; 123 I 31 consid. 2c; 123 II 175 consid. 6c). Il suffit cependant que le juge mentionne, au moins brièvement, les motifs qui l'ont guidé et sur lesquels il a fondé sa décision, de manière à ce que l'intéressé puisse se rendre compte de la portée de celle-ci et l'attaquer en connaissance de cause ( ATF 123 I 31 consid. 2c; 122 IV 8 consid. 2c). Il n'a pas l'obligation d'exposer et de discuter tous les faits, moyens de preuve et griefs invoqués par les parties, mais peut au contraire se limiter à ceux qui, sans arbitraire, lui apparaissent pertinents (122 IV 8 consid. 2c; 121 I 54 consid. 2c et les arrêts cités).</w:t>
      </w:r>
    </w:p>
    <w:p>
      <w:r>
        <w:t>En l'espèce, la Chambre des recours a considéré que l'art. 6 du règlement des crédits privés n'était qu'une clause additionnelle au contrat de prêt du 8 janvier 1990, dénuée de l'autonomie requise pour entraîner l'application de la LCA. En outre, elle a admis que cette clause n'était pas propre à induire en erreur l'emprunteur sur la couverture pour solde de dette ou de mensualités, et qu'elle n'avait aucun caractère insolite. Cette motivation, parfaitement intelligible et étayée par de nombreuses références jurisprudentielles et doctrinales, est évidemment suffisante pour comprendre les raisons pour lesquelles les conclusions de la demanderesse ont été rejetées. Et, comme le moyen fondé sur la publicité de la banque défenderesse n'était pas pertinent (cf. consid. 3 ci-dessus), la cour cantonale pouvait se dispenser de le réfuter formellement. Il n'y a ainsi pas eu de violation du droit de la recourante à recevoir une décision motivée.</w:t>
      </w:r>
    </w:p>
    <w:p>
      <w:r>
        <w:rPr>
          <w:b/>
        </w:rPr>
        <w:t>E. 5</w:t>
      </w:r>
    </w:p>
    <w:p>
      <w:r>
        <w:t>La recourante invoque enfin le principe de la bonne foi déduit de l' art. 4 aCst. que la cour cantonale aurait bafoué en affirmant que Marc-Henri Kocher avait oublié la clause dont il pouvait bénéficier.</w:t>
      </w:r>
    </w:p>
    <w:p>
      <w:r>
        <w:t>Découlant directement de l' art. 4 aCst. et valant pour l'ensemble de l'activité étatique, le principe de la bonne foi protège le citoyen dans la confiance légitime qu'ilmet dans les assurances reçues des autorités ( ATF 124 II 265 consid. 4a p. 269/270).</w:t>
      </w:r>
    </w:p>
    <w:p>
      <w:r>
        <w:t>La protection de la bonne foi en droit des contrats est assurée par l' art. 2 CC . Aussi longtemps qu'il y va de la confiance fondée sur une relation contractuelle, il n'y a pas de place pour un recours direct à la protection conférée par l' art. 4 aCst. ( ATF 122 I 328 consid. 7c).</w:t>
      </w:r>
    </w:p>
    <w:p>
      <w:r>
        <w:t>Le moyen, si tant est qu'il soit suffisamment motivé ( art. 90 al. 1 let. b OJ ), est dénué de fondement.</w:t>
      </w:r>
    </w:p>
    <w:p>
      <w:r>
        <w:rPr>
          <w:b/>
        </w:rPr>
        <w:t>E. 6</w:t>
      </w:r>
    </w:p>
    <w:p>
      <w:r>
        <w:t>En définitive, le recours doit être rejeté dans la mesure de sa recevabilité. Les frais et dépens doivent être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