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4P.49/2002 vom 30. Mai 2002</w:t>
      </w:r>
    </w:p>
    <w:p>
      <w:r>
        <w:t>Bundesgericht, 2002-05-30, FR</w:t>
      </w:r>
    </w:p>
    <w:p>
      <w:r>
        <w:rPr>
          <w:b/>
        </w:rPr>
        <w:t xml:space="preserve">Quelle: </w:t>
      </w:r>
      <w:r>
        <w:t>https://mcp.opencaselaw.ch/entscheid/bger_4P.49_2002</w:t>
      </w:r>
    </w:p>
    <w:p>
      <w:r>
        <w:t>FR: TF 4P.49/2002 du 30 mai 2002</w:t>
      </w:r>
    </w:p>
    <w:p>
      <w:r>
        <w:t>IT: TF 4P.49/2002 del 30 maggio 2002</w:t>
      </w:r>
    </w:p>
    <w:p>
      <w:pPr>
        <w:pStyle w:val="Heading2"/>
      </w:pPr>
      <w:r>
        <w:t>Erwägungen</w:t>
      </w:r>
    </w:p>
    <w:p>
      <w:r>
        <w:rPr>
          <w:b/>
        </w:rPr>
        <w:t>E. 1</w:t>
      </w:r>
    </w:p>
    <w:p>
      <w:r>
        <w:t>Les moyens invoqués dans le recours de droit public sont susceptibles de conduire à l'annulation de l'arrêt attaqué, notamment pour appréciation arbitraire des preuves, et cela sans examen de la cause au fond. Il se justifie dès lors de se conformer à la règle de l' art. 57 al. 5 OJ qui prescrit de traiter en principe le recours de droit public avant le recours en réforme ( ATF 123 III 213 consid. 1; 122 I 81 consid. 1).</w:t>
      </w:r>
    </w:p>
    <w:p>
      <w:r>
        <w:rPr>
          <w:b/>
        </w:rPr>
        <w:t>E. 2</w:t>
      </w:r>
    </w:p>
    <w:p>
      <w:r>
        <w:t>Vu la nature cassatoire du recours de droit public, sauf exceptions non réalisées en l'espèce, les conclusions qui vont au-delà de la demande de simple annulation de la décision entreprise sont irrecevables ( ATF 127 II 1 consid. 2c p. 5; 127 III 279 consid. 1b p. 282). Tel est le cas de la requête de renvoi à la cour cantonale pour nouvelle instruction et nouvelle décision, de toute manière superflue en cas d'admission du recours. Il en va de même des conclusions tendant à réformer le jugement entrepris dans le sens du déboutement de l'intimée et de l'admission des conclusions libératoires de la recourante, qui sont la transcription textuelle de celles prises dans le recours en réforme, où elles ont exclusivement leur place.</w:t>
      </w:r>
    </w:p>
    <w:p>
      <w:r>
        <w:rPr>
          <w:b/>
        </w:rPr>
        <w:t>E. 3</w:t>
      </w:r>
    </w:p>
    <w:p>
      <w:r>
        <w:t>a)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w:t>
      </w:r>
    </w:p>
    <w:p>
      <w:r>
        <w:t>b) En l'espèce, la recourante soutient que la relation de travail a pris fin le 14 mai 2000, en raison de la validité du congé donné le 14 avril 2000 moyennant le respect du préavis "d'un mois de calendrier". Il est constant que l'intimée s'est rendue à sa place de travail le 15 mai 2000, mais la recourante conteste formellement que la vendeuse ait effectué sa prestation de travail ce jour-là, comme l'ont retenu successivement le Tribunal de prud'hommes de l'arrondissement de Lausanne puis la Chambre des recours du Tribunal cantonal. Or, comme la juridiction cantonale a estimé que la question de la validité de la clause contractuelle dérogeant au principe de résiliation pour la fin d'un mois ( art. 335c al. 1 et 2 CO ) pouvait rester indécise, parce que les parties auraient admis par actes concluants le report de l'échéance au 31 mai 2000, il est indispensable de connaître quel a été leur comportement pendant la journée du 15 mai 2000.</w:t>
      </w:r>
    </w:p>
    <w:p>
      <w:r>
        <w:t>En l'état, le dossier ne contient aucune indication autre que la constatation du fait que l'intimée s'est présentée à sa place de travail. En particulier, il ne ressort ni des documents ni des déclarations des parties, et pas davantage du procès-verbal très sommaire tenu par le Tribunal de prud'hommes, lors des audiences des 15 novembre 2000 et 10 janvier 2001, que l'employée ait effectué ses prestations contractuelles ce jour-là, ni que l'employeur l'ait empêchée de le faire, ou lui ait rappelé qu'à son avis la relation de travail avait pris fin la veille, le 14 mai 2000.</w:t>
      </w:r>
    </w:p>
    <w:p>
      <w:r>
        <w:t>En l'absence de tout renseignement sur les déclarations et le comportement des parties le 15 mai 2000, le Tribunal cantonal était réduit à des hypothèses qui ne permettent pas, en fait, d'asseoir la conclusion qu'il en a tirée, à savoir que les rapports de travail se sont poursuivis jusqu'au 31 mai 2000. Une telle conclusion est tout à fait vraisemblable, au regard d'une certaine ambiguïté de la clause du contrat de travail fixant le délai de congé et de son caractère inusuel, voire insolite; de même, l'hypothèse inverse du rappel par l'employeur de l'échéance du délai de congé au 14 mai 2000 s'avère tout aussi vraisemblable; en effet, pour des raisons inexpliquées, la travailleuse ne s'est plus présentée à son poste dès le 16 mai 2000 et jusqu'à la fin du mois de juin, sans encourir de reproche de la part de la recourante.</w:t>
      </w:r>
    </w:p>
    <w:p>
      <w:r>
        <w:t>Il s'ensuit que le grief d'appréciation arbitraire des faits est bien-fondé, ce qui entraîne l'admission du recours de droit public dans la mesure où il est recevable et l'annulation de l'arrêt attaqué.</w:t>
      </w:r>
    </w:p>
    <w:p>
      <w:r>
        <w:t>La procédure est ainsi replacée dans la situation où elle se trouvait avant le prononcé de la décision entreprise et il appartiendra à la juridiction cantonale, avec la collaboration des parties ( ATF 107 II 233 consid. 2c p. 236; cf.</w:t>
      </w:r>
    </w:p>
    <w:p>
      <w:r>
        <w:t>également ATF 125 III 231 consid. 4a p. 238/239 et les références; Fabienne Hohl, La réalisation du droit et les procédures rapides, Fribourg 1994, p. 56) de déterminer ce qu'elles ont dit et fait le 15 mai 2000, et dans la période qui a suivi, avant de se prononcer une nouvelle fois sur les conséquences juridiques des faits correctement établis.</w:t>
      </w:r>
    </w:p>
    <w:p>
      <w:r>
        <w:rPr>
          <w:b/>
        </w:rPr>
        <w:t>E. 4</w:t>
      </w:r>
    </w:p>
    <w:p>
      <w:r>
        <w:t>La valeur litigieuse de la présente cause étant inférieure à 30'000 fr., la procédure est gratuite en application de l' art. 343 al. 3 CO . En principe, cette disposition ne dispense pas la partie qui succombe de verser à la partie adverse une indemnité à titre de dépens ( ATF 115 II 30 consid. 5c p. 42). Dans le cas particulier, comme l'issue du litige au fond demeure réservée, et compte tenu de la situation de l'intimée, il se justifie de ne mettre aucune indemnité de dépens à la charge de celle-ci et en faveur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