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4P.40/2006 vom 6. Juni 2006</w:t>
      </w:r>
    </w:p>
    <w:p>
      <w:r>
        <w:t>Bundesgericht, 2006-06-06, FR</w:t>
      </w:r>
    </w:p>
    <w:p>
      <w:r>
        <w:rPr>
          <w:b/>
        </w:rPr>
        <w:t xml:space="preserve">Quelle: </w:t>
      </w:r>
      <w:r>
        <w:t>https://mcp.opencaselaw.ch/entscheid/bger_4P.40_2006</w:t>
      </w:r>
    </w:p>
    <w:p>
      <w:r>
        <w:t>FR: TF 4P.40/2006 du 6 juin 2006</w:t>
      </w:r>
    </w:p>
    <w:p>
      <w:r>
        <w:t>IT: TF 4P.40/2006 del 6 giugno 2006</w:t>
      </w:r>
    </w:p>
    <w:p>
      <w:pPr>
        <w:pStyle w:val="Heading2"/>
      </w:pPr>
      <w:r>
        <w:t>Erwägungen</w:t>
      </w:r>
    </w:p>
    <w:p>
      <w:r>
        <w:rPr>
          <w:b/>
        </w:rPr>
        <w:t>E. 1</w:t>
      </w:r>
    </w:p>
    <w:p>
      <w:r>
        <w:t>Conformément à la règle de l' art. 57 al. 5 OJ , il convient en l'espèce de traiter le recours de droit public avant le recours en réforme.</w:t>
      </w:r>
    </w:p>
    <w:p>
      <w:r>
        <w:rPr>
          <w:b/>
        </w:rPr>
        <w:t>E. 2.1</w:t>
      </w:r>
    </w:p>
    <w:p>
      <w:r>
        <w:t>Exercé en temps utile ( art. 89 al. 1 OJ ), dans la forme prévue par la loi ( art. 90 al. 1 OJ ), pour violation de droits constitutionnels des citoyens ( art. 84 al. 1 let. a OJ ), contre une décision finale prise en dernière instance cantonale ( art. 86 al. 1 OJ ), par les recourants qui sont personnellement touchés par la décision attaquée ( art. 88 OJ ), le recours de droit public soumis à l'examen du Tribunal fédéral est en principe recevable.</w:t>
      </w:r>
    </w:p>
    <w:p>
      <w:r>
        <w:rPr>
          <w:b/>
        </w:rPr>
        <w:t>E. 2.2</w:t>
      </w:r>
    </w:p>
    <w:p>
      <w:r>
        <w:t>Saisi d'un recours de droit public, le Tribunal fédéral n'examine que les griefs d'ordre constitutionnel invoqués et suffisamment motivés dans l'acte de recours ( art. 90 al. 1 let. b OJ ; ATF 130 I 26 consid. 2.1 p. 31, 258 consid. 1.3 p. 262). Il n'entre pas en matière sur les griefs insuffisamment motivés ou sur les critiques purement appellatoires. La partie recourante ne peut se contenter de critiquer la décision attaquée comme elle le ferait dans une procédure d'appel où l'autorité de recours peut revoir librement l'application du droit ( ATF 128 I 295 consid. 7a). L' art. 90 al. 1 let. b OJ n'autorise pas l'auteur d'un recours de droit public à présenter sa propre version des événements ( ATF 129 III 727 consid. 5.2.2). Par ailleurs, le Tribunal fédéral se fonde sur l'état de fait tel qu'il a été retenu dans l'arrêt attaqué, à moins que la partie recourante n'établisse que l'autorité cantonale a constaté les faits de manière inexacte ou incomplète en violation de la Constitution fédérale ( ATF 118 Ia 20 consid. 5a).</w:t>
      </w:r>
    </w:p>
    <w:p>
      <w:r>
        <w:rPr>
          <w:b/>
        </w:rPr>
        <w:t>E. 3</w:t>
      </w:r>
    </w:p>
    <w:p>
      <w:r>
        <w:t>Les recourants font valoir, pour chacun des trois griefs déjà soulevés en instance cantonale (cf. consid. B in fine), simultanément la violation du droit d'être entendu et l'arbitraire dans l'appréciation des preuves. Il y a lieu de commencer par examiner le mérite du premier de ces moyens.</w:t>
      </w:r>
    </w:p>
    <w:p>
      <w:r>
        <w:rPr>
          <w:b/>
        </w:rPr>
        <w:t>E. 3.1</w:t>
      </w:r>
    </w:p>
    <w:p>
      <w:r>
        <w:t>S'agissant du caractère provisoire ou durable de l'incapacité de travail de l'intimée, les recourants se plaignent en réalité d'une appréciation arbitraire des preuves, voire d'une application arbitraire de l'art. 444 al. 1 ch. 3 du code de procédure civile du canton de Vaud du 14 décembre 1966 (ci-après: CPC/VD), et non pas de la violation de leur droit d'être entendus, dans la mesure où ils reconnaissent que la cour cantonale "a finalement statué - bien que brièvement - sur ce moyen, au fond". Dès lors que les recourants admettent que les précédents juges se sont déterminés sur leurs argumentations, bien qu'imparfaitement à leurs yeux, une violation du droit d'être entendu, au sens propre et restreint de cette notion (cf. ATF 129 II 497 consid. 2.2 p. 504 s. et les arrêts cités) ne peut être retenue, alors que la question d'une appréciation arbitraire des preuves, au sens de l' art. 9 Cst. , ou d'un déni de justice matériel tombant sous le coup de la même disposition constitutionnelle, peut être envisagée.</w:t>
      </w:r>
    </w:p>
    <w:p>
      <w:r>
        <w:t>De plus, même si les recourants ont indiqué que le Tribunal cantonal avait statué "brièvement" sur le moyen soulevé, ils n'ont pas davantage fait valoir la violation de leur droit d'être entendus, découlant de l' art. 29 al. 2 Cst. , sous l'angle de la prohibition de la motivation insuffisante, telle que la jurisprudence l'a précisée (cf. ATF 129 I 232 consid. 3.2 p. 236 et les arrêts cités).</w:t>
      </w:r>
    </w:p>
    <w:p>
      <w:r>
        <w:rPr>
          <w:b/>
        </w:rPr>
        <w:t>E. 3.2</w:t>
      </w:r>
    </w:p>
    <w:p>
      <w:r>
        <w:t>Concernant l'impossibilité de souscrire une assurance perte de gain pour l'employée, en raison de son incapacité de travail durable existant au moment de la conclusion envisagée d'une police, les recourants se plaignent d'arbitraire dans l'application de l' art. 4 al. 2 CPC /VD, quant aux faits notoires, ainsi que dans l'appréciation des éléments sur la base desquels ils ont déclaré qu'il leur eût été impossible de souscrire une telle assurance. Bien que les recourants mentionnent la violation de leur droit d'être entendus, cet argument ne fait l'objet d'aucune motivation au sens de l' art. 90 al. 1 let. b OJ (cf. consid. 2.2), de sorte qu'il n'y a pas lieu d'entrer en matière sur ce point.</w:t>
      </w:r>
    </w:p>
    <w:p>
      <w:r>
        <w:rPr>
          <w:b/>
        </w:rPr>
        <w:t>E. 3.3</w:t>
      </w:r>
    </w:p>
    <w:p>
      <w:r>
        <w:t>S'agissant du reproche d'abandon de poste, les recourants se plaignent de la violation de leur droit d'être entendus, par défaut de motivation quant au rejet d'éléments de preuve selon lesquels, à leur avis, l'intimée ne s'était plus présentée sur son lieu de travail dès le 4 février 1999, sans en informer ses employeurs ni obtenir de son médecin un certificat médical à leur intention.</w:t>
      </w:r>
    </w:p>
    <w:p>
      <w:r>
        <w:t>Malgré le caractère sommaire du consid. 4 de l'arrêt cantonal, on peut comprendre de celui-là que les précédents juges ont tiré de la lettre de confirmation de congé du 12 février 1999 que l'intimée était empêchée de travailler pour des raisons médicales, de sorte que le grief d'abandon injustifié d'emploi, non invoqué au moment des faits, ne saurait être admis. Les indications succinctes de la cour cantonale donnent aux recourants - et à l'autorité de contrôle - le motif jugé déterminant par celle-là, d'une façon suffisante pour que les recourants aient pu développer leur reproche d'appréciation arbitraire des preuves dans la présente procédure, de même qu'ils ont pu faire valoir leur argumentation, quant à une fausse application de l' art. 337 al. 1 CO , dans le cadre du recours en réforme instruit parallèlement. Dans ces conditions, aucune violation de l' art. 29 al. 2 Cst. ne peut être constatée.</w:t>
      </w:r>
    </w:p>
    <w:p>
      <w:r>
        <w:rPr>
          <w:b/>
        </w:rPr>
        <w:t>E. 4</w:t>
      </w:r>
    </w:p>
    <w:p>
      <w:r>
        <w:t>Il convient ensuite d'examiner le reproche d'appréciation arbitraire des preuves en regard des trois situations que les recourants ont invoquées à ce titre.</w:t>
      </w:r>
    </w:p>
    <w:p>
      <w:r>
        <w:rPr>
          <w:b/>
        </w:rPr>
        <w:t>E. 4.1</w:t>
      </w:r>
    </w:p>
    <w:p>
      <w:r>
        <w:t>D'après la jurisprudence, une décision est arbitraire lorsqu'elle est manifestement insoutenable, méconnaît gravement une norme ou un principe juridique clair et indiscuté, ou heurte de manière choquante le sentiment de la justice et de l'équité ( ATF 132 III 209 consid. 2.1; 131 I 57 consid. 2); il ne suffit pas qu'une autre solution paraisse concevable, voire préférable ( ATF 132 III 209 consid. 2.1; 129 I 8 consid. 2.1); pour que cette décision soit annulée, encore faut-il qu'elle se révèle arbitraire, non seulement dans ses motifs, mais aussi dans son résultat ( ATF 132 III 209 consid. 2.1; 131 I 217 consid. 2.1). Il appartient à la partie recourante de démontrer, par une argumentation précise, en quoi la décision incriminée est arbitraire ( ATF 130 I 258 consid. 1.3 p. 262).</w:t>
      </w:r>
    </w:p>
    <w:p>
      <w:r>
        <w:t>Dans la mesure où l'arbitraire est invoqué en relation avec l'établissement des faits, il convient de rappeler que le juge dispose d'un large pouvoir lorsqu'il apprécie les preuves (arrêt 4P.246/2005 du 20 mars 2006, consid. 4.1; 4P.275/2005 du 8 février 2006, consid. 4.1). La partie recourante doit ainsi expliquer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 127 I 38 consid. 2a p. 41). Il ne suffit pas que la partie recourante invoque seulement quelques moyens de preuve dont elle souhaiterait qu'ils aient une portée différente de celle retenue dans l'arrêt attaqué. Le recours de droit public n'étant pas un appel, il n'appartient pas au Tribunal fédéral de substituer sa propre appréciation à celle de l'autorité cantonale (cf. ATF 128 I 295 consid. 7a), de sorte que la partie recourante ne peut discuter librement les faits et le droit en présentant sa propre version des événements (cf. ATF 129 III 727 consid. 5.2.2 in fine).</w:t>
      </w:r>
    </w:p>
    <w:p>
      <w:r>
        <w:t>Lorsque la partie recourante invoque une violation arbitraire du droit cantonal, elle doit indiquer avec précision quelle est la disposition cantonale qui aurait été violée et l'examen se limite à cette question ( ATF 128 I 273 consid. 2.1 p. 275 s.). Le Tribunal fédéral ne revoit l'application du droit cantonal que sous l'angle de l'arbitraire ( ATF 131 I 217 consid. 2.1; 128 I 177 consid. 2.1; 128 II 311 consid. 2.1).</w:t>
      </w:r>
    </w:p>
    <w:p>
      <w:r>
        <w:rPr>
          <w:b/>
        </w:rPr>
        <w:t>E. 4.2</w:t>
      </w:r>
    </w:p>
    <w:p>
      <w:r>
        <w:t>Les recourants se plaignent de ce que le Tribunal cantonal a déduit du certificat médical du 23 décembre 1998 que l'incapacité de travail n'était que provisoire, la reprise du travail étant envisagée pour le 6 janvier 1999, alors que, par la suite, le 30 octobre 2000, le même médecin avait attesté qu'il était illusoire pour l'intimée de reprendre une activité de cuisinière au début février 1999, ce qu'il avait signalé à cette dernière quelques semaines avant le 22 avril 1999.</w:t>
      </w:r>
    </w:p>
    <w:p>
      <w:r>
        <w:t>Certes, il apparaît de ces divers documents versés à la procédure que, dès le printemps 1999, le médecin traitant avait indiqué à sa cliente qu'elle ne pourrait plus jamais travailler à 100% comme cuisinière, circonstance qui s'est avérée par la suite, avec la reconnaissance de l'invalidité de l'intéressée. Dans la mesure où le médecin avait laissé l'intimée tenter de reprendre son travail le 1er février 1999, pour qu'elle se convainque par elle-même de l'impossibilité d'accomplir une telle activité professionnelle, il faut s'interroger sérieusement sur la force probante du certificat médical du 23 décembre 1998, prévoyant une incapacité totale jusqu'au 6 janvier seulement. S'agissant toutefois d'examiner si l'intimée ne pouvait proposer ses services à ses nouveaux employeurs à mi-décembre 1998 pour le 1er février 1999, force est de constater que, sur la base de l'attestation médicale litigieuse, l'intimée pouvait se croire apte à continuer d'exercer dans sa branche, puisque son arrêt de travail était limité au 6 janvier 1999. Ainsi, jusqu'à la reprise du travail le 1er février, et au vu des difficultés rencontrées à cette occasion, jusqu'au 3 février 1999, l'intimée pouvait penser que son affection n'était que temporaire, même si elle a été informée, quelques semaines avant le 22 avril 1999, qu'elle était définitivement incapable de pratiquer l'activité de cuisinière, pour des raisons de santé. Dans ces conditions, malgré un développement rapide de l'affection dont souffrait la travailleuse, cette dernière pouvait croire, en décembre 1998 et jusqu'au début février 1999, que son incapacité n'était que momentanée, à la lecture du certificat du 23 décembre 1998. Les considérations retenues par les précédents juges, s'avèrent soutenables, en particulier dans la perspective où se trouvait l'intimée, à mi-décembre 1998, lorsqu'elle a fait ses offres d'emploi aux nouveaux exploitants du café-bar. Le grief d'appréciation arbitraire des preuves, au vu de la chronologie et des circonstances rappelées ci-dessus, doit en conséquence être écarté.</w:t>
      </w:r>
    </w:p>
    <w:p>
      <w:r>
        <w:rPr>
          <w:b/>
        </w:rPr>
        <w:t>E. 4.3</w:t>
      </w:r>
    </w:p>
    <w:p>
      <w:r>
        <w:t>Les recourants ont ensuite estimé que la Chambre des recours avait arbitrairement appliqué l' art. 4 al. 2 CPC /VD, en déniant au refus systématique des assurances perte de gain de prendre en charge des risques déjà concrétisés au moment de la conclusion d'une police la qualité de "faits notoires".</w:t>
      </w:r>
    </w:p>
    <w:p>
      <w:r>
        <w:t>Selon la jurisprudence, les faits notoires, qu'il n'est pas nécessaire d'alléguer ni de prouver (cf. ATF 130 III 113 consid. 3.4 p. 121 et les arrêts cités), sont ceux dont l'existence est certaine au point d'emporter la conviction du juge, qu'il s'agisse de faits connus de manière générale du public (allgemeine notorische Tatsachen) ou seulement du juge, par exemple parce que la preuve en a été rapportée dans d'autres procès (amtskundige oder gerichtskundige Tatsachen), à charge pour ce dernier de le signaler aux parties pour garantir leur droit d'être entendues (Vogel/Spühler, Grundriss des Zivilprozessrechts, 8e éd., Berne 2006, n. 17 p. 255; Hohl, Procédure civile, tome I, Berne 2001, n. 945 p. 182 s.; Habscheid, Schweizerisches Zivilprozess- und Gerichtsorganisationsrecht, 2e éd., Bâle 1990, n. 636 p. 381). Dans le même sens, la jurisprudence et la doctrine cantonales considèrent comme faits notoires les faits non particuliers à la cause, connus de chacun parce qu'ils résultent de l'expérience commune ou sont de notoriété générale et manifeste, comme par exemple le prononcé d'une faillite publiée dans la FAO, mais pas la capacité de travail d'une personne atteinte dans sa santé, ni le taux de change des monnaies étrangères (cf. Poudret/Haldy/Tappy, Procédure civile vaudoise, 3e éd., Lausanne 2002, n. 7 ad art. 4 CPC /VD).</w:t>
      </w:r>
    </w:p>
    <w:p>
      <w:r>
        <w:t>Dans le cas présent, la cour cantonale a considéré que n'était pas notoire, au sens de l' art. 4 al. 2 CPC /VD, le fait que les compagnies d'assurances perte de gain auraient refusé d'entrer en matière sur la passation d'un contrat avec un travailleur déjà atteint d'une incapacité durable au moment de la conclusion de la police d'assurance. Certes, une telle situation peut entraîner l'exclusion du risque couvert, en raison d'une maladie préexistante, au moment de l'admission d'une personne dans l'assurance ( art. 69 LAMal ; ATF 127 III 235 consid. 2c p. 238 et les références citées). Ce principe est repris dans les dispositions pertinentes de la convention collective nationale de travail pour les hôtels, restaurants et cafés, qui ne prévoient pas impérativement l'exclusion du risque couvert par une maladie préexistante, mais offrent la possibilité à l'assureur de le faire. Aussi, en jugeant que les pratiques des assurances perte de gain, relativement à l'émission de réserve pour les employés d'une petite entreprise, n'étaient pas connues, et qu'une certaine marge de manoeuvre existait à cet égard dans la convention collective régissant les parties, le Tribunal cantonal n'a pas arbitrairement considéré qu'une pratique généralisée d'exclusion de ce risque n'était pas notoire. Quoique restrictive, l'interprétation de l' art. 4 al. 2 CPC /VD par la cour cantonale demeure soutenable et échappe en conséquence au grief d'arbitraire.</w:t>
      </w:r>
    </w:p>
    <w:p>
      <w:r>
        <w:rPr>
          <w:b/>
        </w:rPr>
        <w:t>E. 4.4</w:t>
      </w:r>
    </w:p>
    <w:p>
      <w:r>
        <w:t>Enfin, les recourants reprochent à celle-ci d'avoir arbitrairement omis de constater que l'intimée ne leur avait plus donné de nouvelles du 4 février 1999 jusqu'à mi-mars 1999, cette circonstance constituant un abandon d'emploi.</w:t>
      </w:r>
    </w:p>
    <w:p>
      <w:r>
        <w:t>Si la qualification juridique de cette situation - abandon d'emploi au sens de l' art. 337d CO ou absence excusable en raison de la maladie - relève de l'application du droit fédéral et de la procédure introduite par le recours en réforme parallèle, le fait que les précédents juges ont relevé que l'intimée s'était absentée pour cause de maladie repose sur l'appréciation de deux pièces versées à la procédure. Dans la première, soit la lettre de congé du 10 février 1999, les recourants n'ont pas reproché à leur ancienne employée l'abandon de poste. Dans la seconde, soit la confirmation de congé du 12 février 1999 à l'échéance du 14 février 1999, les recourants ont invité l'intimée à leur faire parvenir le certificat médical relatif à son arrêt maladie depuis le 4 février 1999. Dans ces conditions, vu l'énoncé de ces deux documents, et le contexte général de la cause où l'état de santé de l'intimée joue un rôle déterminant, il n'était pas arbitraire de retenir que l'absence de l'intimée, et son manque de réaction entre le 4 février et la mi-mars 1999 étaient dus à l'état de santé de cette dernière. A cet égard, le recours est également infondé, ce qui entraîne en définitive son rejet.</w:t>
      </w:r>
    </w:p>
    <w:p>
      <w:r>
        <w:rPr>
          <w:b/>
        </w:rPr>
        <w:t>E. 5</w:t>
      </w:r>
    </w:p>
    <w:p>
      <w:r>
        <w:t>Comme la valeur litigieuse, selon les prétentions de l'intimée à l'ouverture de l'action ( ATF 115 II 30 consid. 5b p. 41), dépasse 30'000 fr., la procédure n'est pas gratuite ( art. 343 al. 2 et 3 CO ). Compte tenu de l'issue du litige, les frais et dépens seront mis à la charge des recourants, solidairement entre eux (art. 156 al. 1 et 7 ainsi que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