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4P.314/2005 vom 21. Februar 2006</w:t>
      </w:r>
    </w:p>
    <w:p>
      <w:r>
        <w:t>Bundesgericht, 2006-02-21, FR</w:t>
      </w:r>
    </w:p>
    <w:p>
      <w:r>
        <w:rPr>
          <w:b/>
        </w:rPr>
        <w:t xml:space="preserve">Quelle: </w:t>
      </w:r>
      <w:r>
        <w:t>https://mcp.opencaselaw.ch/entscheid/bger_4P.314_2005</w:t>
      </w:r>
    </w:p>
    <w:p>
      <w:r>
        <w:t>FR: TF 4P.314/2005 du 21 février 2006</w:t>
      </w:r>
    </w:p>
    <w:p>
      <w:r>
        <w:t>IT: TF 4P.314/2005 del 21 febbraio 2006</w:t>
      </w:r>
    </w:p>
    <w:p>
      <w:pPr>
        <w:pStyle w:val="Heading2"/>
      </w:pPr>
      <w:r>
        <w:t>Regeste</w:t>
      </w:r>
    </w:p>
    <w:p>
      <w:r>
        <w:t>arbitrage international; ordre public | Juridiction arbitrale</w:t>
      </w:r>
    </w:p>
    <w:p>
      <w:pPr>
        <w:pStyle w:val="Heading2"/>
      </w:pPr>
      <w:r>
        <w:t>Erwägungen</w:t>
      </w:r>
    </w:p>
    <w:p>
      <w:r>
        <w:rPr>
          <w:b/>
        </w:rPr>
        <w:t>E. 1</w:t>
      </w:r>
    </w:p>
    <w:p>
      <w:r>
        <w:t>La sentence attaquée est rédigée en français. Dans les mémoires qu'elles ont adressés au Tribunal fédéral, les parties ont employé, qui l'allemand (le recourant), qui le français (l'intimé). Conformément à sa pratique, le Tribunal fédéral rendra son arrêt en français (cf. art. 37 al. 3 OJ ).</w:t>
      </w:r>
    </w:p>
    <w:p>
      <w:r>
        <w:rPr>
          <w:b/>
        </w:rPr>
        <w:t>E. 2</w:t>
      </w:r>
    </w:p>
    <w:p>
      <w:r>
        <w:t>Selon l' art. 85 let . c OJ, le recours de droit public est recevable contre les sentences des tribunaux arbitraux en vertu des art. 190 ss LDIP .</w:t>
      </w:r>
    </w:p>
    <w:p>
      <w:r>
        <w:rPr>
          <w:b/>
        </w:rPr>
        <w:t>E. 2.1</w:t>
      </w:r>
    </w:p>
    <w:p>
      <w:r>
        <w:t>Le siège du TAS se trouve à Lausanne. L'une des parties au moins (en l'occurrence, le recourant) n'avait, au moment déterminant, ni son domicile, ni sa résidence habituelle en Suisse. Les dispositions du chapitre 12 de la LDIP sont ainsi applicables ( art. 176 al.1 et 2 LDIP ). Au demeurant, comme le TAS a statué, en l'espèce, sur des points de droit et non sur l'application de règles de jeu, sa sentence peut faire l'objet d'un recours de droit public (cf. ATF 119 II 271 consid. 3 et les arrêts cités).</w:t>
      </w:r>
    </w:p>
    <w:p>
      <w:r>
        <w:rPr>
          <w:b/>
        </w:rPr>
        <w:t>E. 2.2</w:t>
      </w:r>
    </w:p>
    <w:p>
      <w:r>
        <w:t>Le recours ne peut être formé que pour l'un des motifs énumérés de manière exhaustive à l' art. 190 al. 2 LDIP ( ATF 128 III 50 consid. 1a p. 53; 127 III 279 consid. 1a p. 282). Les règles de procédure étant celles du recours de droit public, la partie recourante doit invoquer ses griefs conformément aux exigences de l' art. 90 al. 1 let. b OJ ( ATF 128 III 50 consid. 1c p. 53). S'agissant plus particulièrement du motif de recours prévu par l' art. 190 al. 2 let . e LDIP, il lui appartient de démontrer de façon circonstanciée en quoi la sentence attaquée est, à son avis, incompatible avec l'ordre public ( ATF 117 II 604 consid. 3 p. 606). Le Tribunal fédéral n'examine que les griefs qui ont été formulés et suffisamment motivés dans l'acte de recours.</w:t>
      </w:r>
    </w:p>
    <w:p>
      <w:r>
        <w:rPr>
          <w:b/>
        </w:rPr>
        <w:t>E. 3</w:t>
      </w:r>
    </w:p>
    <w:p>
      <w:r>
        <w:t>Invoquant l' art. 190 al. 2 let . e LDIP, le recourant reproche au TAS d'avoir rendu une sentence incompatible avec l'ordre public. Plus précisément, il lui fait grief d'avoir appliqué de manière insoutenable le droit matériel et, partant, d'avoir violé le principe pacta sunt servanda.</w:t>
      </w:r>
    </w:p>
    <w:p>
      <w:r>
        <w:rPr>
          <w:b/>
        </w:rPr>
        <w:t>E. 3.1</w:t>
      </w:r>
    </w:p>
    <w:p>
      <w:r>
        <w:t>Selon la jurisprudence, la fidélité contractuelle, rendue par cet adage latin, compte au nombre des principes qui constituent l'ordre public matériel dont la violation est sanctionnée par la disposition précitée ( ATF 128 III 191 consid. 6b p. 198; 120 II 155 consid. 6a p. 166 et les références). 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La Cour de céans a souligné à plusieurs reprises qu'il découle de cette jurisprudence que la quasi-totalité du contentieux dérivé de la violation du contrat est exclue du champ de protection du principe pacta sunt servanda. Il convient encore de préciser que, dans le cadre de l'examen d'une violation de l'ordre public au sens de l' art. 190 al. 2 let . e LDIP, le Tribunal fédéral n'a pas à rechercher si l'arbitre a interprété correctement une clause contractuelle (arrêt 4P.98/2005 du 10 novembre 2005, consid. 5.2.1 avec de nombreuses références).</w:t>
      </w:r>
    </w:p>
    <w:p>
      <w:r>
        <w:rPr>
          <w:b/>
        </w:rPr>
        <w:t>E. 3.2</w:t>
      </w:r>
    </w:p>
    <w:p>
      <w:r>
        <w:t>Les arguments avancés par le recourant - sur un mode essentiellement appellatoire de surcroît - à l'effet de démontrer la prétendue violation du principe pacta sunt servanda par le TAS ne sont en rien pertinents, car ils ne tiennent aucun compte de la jurisprudence qui vient d'être rappelée. Aussi bien, le recourant se borne à contester la manière dont le TAS a appliqué les dispositions du droit matériel suisse pour trancher le différend qui lui était soumis. Il lui reproche, en particulier, d'avoir fait fond sur les art. 337 ss CO plutôt que sur l' art. 324 CO , de n'avoir pas sanctionné le comportement contradictoire de l'intimé et de n'avoir pas indiqué les motifs justifiant de fixer l'indemnité allouée à 45'000 fr. Tout cela n'a rien à voir avec la fidélité contractuelle. Le recourant se contente, en réalité, de critiquer l'application des règles de droit, telle qu'elle a été effectuée par le TAS, comme il s'y prendrait s'il plaidait devant une cour d'appel. Il démontre, ce faisant, une méconnaissance totale de la nature du recours de droit public en matière d'arbitrage international. C'est le lieu de rappeler que le Tribunal fédéral, lorsqu'il est saisi d'un tel recours, n'a pas à vérifier si le tribunal arbitral a fait une application correcte ou, à tout le moins, soutenable des dispositions sur lesquelles il a fondé sa sentence. Pour le surplus, il n'apparaît pas que le TAS ait rendu une sentence qui contredirait le résultat de son interprétation des clauses topiques du contrat litigieux ou qui s'écarterait de la conclusion à laquelle il a abouti en appliquant les règles de droit retenues par lui aux faits constatés dans sa sentence. Cela étant, le présent recours, dont la recevabilité est du reste sujette à caution sous l'angle de la motivation, apparaît dénué de tout fondement.</w:t>
      </w:r>
    </w:p>
    <w:p>
      <w:r>
        <w:rPr>
          <w:b/>
        </w:rPr>
        <w:t>E. 4</w:t>
      </w:r>
    </w:p>
    <w:p>
      <w:r>
        <w:t>Le recourant, qui succombe, devra payer l'émolument judiciaire afférent à la procédure fédérale ( art. 156 al. 1 OJ ) et indemniser son adverse partie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