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4P.30/2002 vom 10. Juni 2002</w:t>
      </w:r>
    </w:p>
    <w:p>
      <w:r>
        <w:t>Bundesgericht, 2002-06-10, DE</w:t>
      </w:r>
    </w:p>
    <w:p>
      <w:r>
        <w:rPr>
          <w:b/>
        </w:rPr>
        <w:t xml:space="preserve">Quelle: </w:t>
      </w:r>
      <w:r>
        <w:t>https://mcp.opencaselaw.ch/entscheid/bger_4P.30_2002</w:t>
      </w:r>
    </w:p>
    <w:p>
      <w:r>
        <w:t>FR: TF 4P.30/2002 du 10 juin 2002</w:t>
      </w:r>
    </w:p>
    <w:p>
      <w:r>
        <w:t>IT: TF 4P.30/2002 del 10 giugno 2002</w:t>
      </w:r>
    </w:p>
    <w:p>
      <w:pPr>
        <w:pStyle w:val="Heading2"/>
      </w:pPr>
      <w:r>
        <w:t>Regeste</w:t>
      </w:r>
    </w:p>
    <w:p>
      <w:r>
        <w:t>Zivilprozess</w:t>
      </w:r>
    </w:p>
    <w:p>
      <w:pPr>
        <w:pStyle w:val="Heading2"/>
      </w:pPr>
      <w:r>
        <w:t>Erwägungen</w:t>
      </w:r>
    </w:p>
    <w:p>
      <w:r>
        <w:rPr>
          <w:b/>
        </w:rPr>
        <w:t>E. 1</w:t>
      </w:r>
    </w:p>
    <w:p>
      <w:r>
        <w:t>Der Beschwerdeführer rügt, die Beweiswürdigung des Obergerichts sei in verschiedener Hinsicht willkürlich. Willkür liegt nach ständiger Rechtsprechung des Bundesgerichts nicht schon dann vor, wenn eine andere Lösung ebenfalls vertretbar erscheint oder gar vorzuziehen wäre. Im Bereich der Beweiswürdigung verfügt der Sachrichter über einen weiten Ermessensspielraum. Das Bundesgericht greift auf staatsrechtliche Beschwerde hin nur ein, wenn die Beweiswürdigung offensichtlich unhaltbar ist, mit der tatsächlichen Situation in klarem Widerspruch steht, auf einem offenkundigen Versehen beruht oder in stossender Weise dem Gerechtigkeitsgedanken zuwiderläuft ( BGE 127 I 38 E. 2a ; 124 I 208 E. 4a; 124 IV 86 E. 2a; 120 Ia 31 E. 4b). Im staatsrechtlichen Beschwerdeverfahren prüft das Bundesgericht nur klar und detailliert erhobene Rügen ( Art. 90 Abs. 1 lit. b OG ). Auf ungenügend begründete Rügen und rein appellatorische Kritik am angefochtenen Entscheid tritt es nicht ein. Rügt der Beschwerdeführer eine willkürliche Beweiswürdigung, muss er aufzeigen, inwiefern diese im Ergebnis offensichtlich unhaltbar ist (vgl. BGE 125 I 71 E. 1c, 492 E. 1b). Diesen Begründungsanforderungen genügt die vorliegende Beschwerdeschrift nicht in allen Teilen, wie in den nachfolgenden Erwägungen aufzuzeigen ist.</w:t>
      </w:r>
    </w:p>
    <w:p>
      <w:r>
        <w:rPr>
          <w:b/>
        </w:rPr>
        <w:t>E. 2</w:t>
      </w:r>
    </w:p>
    <w:p>
      <w:r>
        <w:t>Der Beschwerdeführer rügt, das Obergericht habe in willkürlicher Weise angenommen, der Wert des Streitgegenstand bildenden Fahrzeuges Ford Scorpio habe am 17. November 1997 Fr. 21'800.-- und nicht wesentlich weniger betragen. Dabei sei es von einem Eurotaxwert von Fr. 18'655.-- ausgegangen. Es habe unberücksichtigt gelassen, dass dieser Wert auf einer falschen Kilometerangabe beruhte (68'000 statt 115'000 km), weil es willkürlich angenommen habe, die unrichtige Kilometerangabe habe vom Beschwerdeführer selber gestammt. Weiter habe es übersehen, dass der verwendete Eurotaxwert per Juli 1997 statt per November 1997 berechnet worden sei und dass anstelle des Wertes für den Verkauf von Privat an Privat der Wert bei Verkauf durch einen Garagisten verwendet worden sei. Sodann habe das Obergericht zu Unrecht angenommen, der Wert des Fahrzeuges hätte um einen Liebhaberwert und um einen Zuschlag wegen Sonderausstattung erhöht werden dürfen. Diese Rüge stösst weitgehend ins Leere und ist im Übrigen unbegründet, soweit darauf einzutreten ist. Der Beschwerdeführer übersieht zunächst, dass dem Urteil des Obergerichts keine Feststellung zu entnehmen ist, dass der Fahrzeugwert am 17. November 1997 tatsächlich Fr. 21'800.-- betragen habe. Das Obergericht vertrat die - in rechtlicher Hinsicht im Rahmen des konnexen Berufungsverfahrens zu prüfende ( Art. 57 Abs. 5 OG ) - Auffassung, der Beschwerdeführer könne gegenüber der Beschwerdegegnerin nach Art. 18 Abs. 2 OR die Einrede der Simulation des Mietvertrages nicht erheben. Er müsse ihr gegenüber den Vertrag gegen sich gelten lassen, da sie die Ansprüche aus dem Mietvertrag gutgläubig erworben habe. Dementsprechend ging es bei der Beurteilung, ob der Vertrag den abzahlungsrechtlichen Vorschriften zu unterstellen sei, von einem Wert des Fahrzeuges von Fr. 21'800.-- aus, den die Mietvertragsparteien der Beschwerdegegnerin zur Vorbereitung des zu simulierenden Mietvertrages übermittelt hatten und welcher unbestrittenermassen der Berechnung der nach dem Vertrag zu leistenden Mietzinse zu Grunde gelegt wurde. Es erkannte, die Beschwerdegegnerin habe auf die Richtigkeit dieses Wertes und auf die Richtigkeit der für seine Berechnung wesentlichen, von der X.________ AG übermittelten Angabe über den Kilometerstand des Fahrzeugs gutgläubig vertrauen dürfen. Der Beschwerdeführer hat nicht dargetan, inwiefern die in diesem Zusammenhang einzig getroffene Sachverhaltsfeststellung, der Wert von Fr. 21'800.-- sei für das interessierende Fahrzeug nach den der Beschwerdegegnerin als Bestandteil des Scheingeschäfts übermittelten Angaben realistisch, als offensichtlich unhaltbar erscheinen liesse. Der Schluss, ein Wert von Fr. 21'800.-- für ein fünfjähriges Fahrzeug mit einem angeblichen Kilometerstand von 68'000, das in seiner Kategorie zur Spitzenklasse gehörte und einen Neuwert von nahezu Fr. 60'000.-- hatte, sei plausibel, erscheint im Ergebnis keineswegs als willkürlich. Dies gilt selbst dann, wenn davon ausgegangen wird, dass die Beschwerdegegnerin aufgrund der gelieferten Angaben selber eine Eurotax-Bewertung des Fahrzeuges vornahm. Dem Urteil des Obergerichts ist nicht zu entnehmen und der Beschwerdeführer macht auch nicht geltend, es sei der Beschwerdegegnerin bekannt gewesen, dass das Mietfahrzeug nicht von einem Garagisten, sondern von einem Privaten verkauft worden sein sollte. Das Obergericht qualifizierte den Einwand des Beschwerdeführers, die Beschwerdegegnerin hätte den Angaben über den Kilometerstand und damit auch den Angaben über den Fahrzeugwert nicht blind vertrauen dürfen, als rechtsmissbräuchlich. Es ging dabei in tatsächlicher Hinsicht davon aus, die falschen Kilometerangaben hätten vom Beschwerdeführer selber gestammt. Der Beschwerdeführer sieht auch darin eine willkürliche tatsächliche Feststellung. Auch diese Rüge ist unbegründet, soweit darauf eingetreten werden kann. Das Obergericht hat die gerügte Feststellung unter einlässlicher und überzeugender Würdigung der Aussagen des Beschwerdeführers getroffen. Der Beschwerdeführer setzt sich damit nicht rechtsgenügend auseinander und tut nicht dar, weshalb das Obergericht damit in Willkür verfallen sein soll. Dies ist auch nicht ersichtlich: Der Beschwerdeführer war an einer eher hohen Bewertung des Fahrzeuges interessiert, um die Finanzierung eines genügend hohen Kredites für B.________ zu bewirken, der damit seine Schulden bei ihm begleichen wollte. Auch der auf einer falschen Angabe beruhende Wert ist Bestandteil des Scheingeschäftes, das den Mietvertragsparteien zur Erhältlichmachung des Kredites diente.</w:t>
      </w:r>
    </w:p>
    <w:p>
      <w:r>
        <w:rPr>
          <w:b/>
        </w:rPr>
        <w:t>E. 3</w:t>
      </w:r>
    </w:p>
    <w:p>
      <w:r>
        <w:t>Der Beschwerdeführer rügt weiter, das Obergericht sei auch insofern willkürlicher Beweiswürdigung verfallen, als es angenommen habe, B.________ habe einen Kreditbetrag ausbezahlt erhalten, der den von ihm bestätigten Betrag von Fr. 9'818.-- übersteige. Das Obergericht habe nach seinem Belieben zusammenhangslose Aussagen dazu verwendet, dieses Beweisergebnis zu begründen. Auch dieser Vorwurf erweist sich als unbegründet, soweit darauf eingetreten werden kann. Das Obergericht legte mit wörtlichen Zitaten der Aussagen des Zeugen B.________ und des Beschwerdeführers schlüssig dar, weshalb es zum gerügten Beweisergebnis gelangte. Die wiedergegebenen Aussagen von B.________ deuten klar darauf hin, dass er erheblich mehr erhielt als nur den unbestrittenen Betrag von Fr. 9'818.--. Der Beschwerdeführer gab zu Protokoll, es sei möglich, dass B.________ kein Geld erhalten habe, es sei auch möglich, dass er Fr. 21'400.-- erhalten habe. Er wisse nicht, ob überhaupt Geld geflossen sei. Diese Aussage verstärkt den Eindruck, dass er und B.________ ganz bewusst zu verschleiern versuchten, dass dieser einen weit grösseren Betrag erhalten hatte als sie zugeben wollten. Der Beschwerdeführer setzt sich mit den dazu angestellten Erwägungen des Obergerichts nicht rechtsgenügend auseinander. Er legt nicht dar und es ist auch nicht ersichtlich, inwiefern es damit in Willkür verfallen sein soll.</w:t>
      </w:r>
    </w:p>
    <w:p>
      <w:r>
        <w:rPr>
          <w:b/>
        </w:rPr>
        <w:t>E. 4</w:t>
      </w:r>
    </w:p>
    <w:p>
      <w:r>
        <w:t>Die Beschwerde ist unbegründet, soweit darauf eingetreten werden kann. Dem Verfahrensausgang entsprechend ist die Gerichtsgebühr dem Beschwerdeführer aufzuerlegen ( Art. 156 Abs. 1 OG ). Er hat die Beschwerdegegnerin überdies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