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4P.302/2004 vom 5. August 2005</w:t>
      </w:r>
    </w:p>
    <w:p>
      <w:r>
        <w:t>Bundesgericht, 2005-08-05, FR</w:t>
      </w:r>
    </w:p>
    <w:p>
      <w:r>
        <w:rPr>
          <w:b/>
        </w:rPr>
        <w:t xml:space="preserve">Quelle: </w:t>
      </w:r>
      <w:r>
        <w:t>https://mcp.opencaselaw.ch/entscheid/bger_4P.302_2004</w:t>
      </w:r>
    </w:p>
    <w:p>
      <w:r>
        <w:t>FR: TF 4P.302/2004 du 5 août 2005</w:t>
      </w:r>
    </w:p>
    <w:p>
      <w:r>
        <w:t>IT: TF 4P.302/2004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2.1</w:t>
      </w:r>
    </w:p>
    <w:p>
      <w:r>
        <w:t>La recourante soutient qu'elle avait invité les deux juridictions genevoises à administrer des preuves sur le point de savoir quel montant l'intimé percevra dans le cadre du concordat de SAirGroup. Elle leur reproche d'avoir méconnu son droit d'être entendue en ne donnant pas suite à cette réquisition.</w:t>
      </w:r>
    </w:p>
    <w:p>
      <w:r>
        <w:rPr>
          <w:b/>
        </w:rPr>
        <w:t>E. 2.2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w:t>
      </w:r>
    </w:p>
    <w:p>
      <w:r>
        <w:t>La recourante fait valoir, par ailleurs, que la Cour d'appel aurait procédé à une appréciation arbitraire d'un certain nombre de preuves.</w:t>
      </w:r>
    </w:p>
    <w:p>
      <w:r>
        <w:rPr>
          <w:b/>
        </w:rPr>
        <w:t>E. 3.1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3.2.1</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3.2.2</w:t>
      </w:r>
    </w:p>
    <w:p>
      <w:r>
        <w:t>Toujours selon la recourante, la Cour d'appel aurait procédé à une constatation de fait arbitraire en se fondant sur l'en-tête de certains documents remis à l'intimé pour en déduire l'identité de la débitrice des prestations du plan social. Or, aucune fiche de salaire n'aurait été versée au dossier de la présente procédure, la cour cantonale n'en ayant jamais réclamé la production. Par conséquent, il était arbitraire, selon la recourante, de tenir pour constant que les fiches de salaire ont bien été établies à son en-tête. Contrairement à l'avis de la recourante, peu importe de savoir qui a établi ces fiches de salaire. Seule est, en effet, décisive l'identité de la société qui a promis la prestation litigieuse. Il est tout à fait possible qu'au sein d'un groupe de sociétés, ce soit une autre société qui effectue cette prestation. Mais cela n'influe aucunement sur la qualité de débiteur de celle-ci. Le cas échéant, les prestations qui auront effectivement été versées devront être imputées sur la créance du bénéficiaire - ce qui a été le cas en l'espèce. Toutefois, les versements ainsi opérés ne sauraient entraîner une reprise, avec effet libératoire, par la société qui a payé, de la dette relative aux prestations futures. Le recours est, dès lors, voué à l'échec sur ce point également.</w:t>
      </w:r>
    </w:p>
    <w:p>
      <w:r>
        <w:rPr>
          <w:b/>
        </w:rPr>
        <w:t>E. 3.2.3</w:t>
      </w:r>
    </w:p>
    <w:p>
      <w:r>
        <w:t>Quant à l'argument de la recourante selon lequel l'intimé, à partir du moment où il percevrait la rente versée par la CGP au titre de la retraite anticipée, n'aurait plus droit qu'à la prestation transitoire dénommée "Pont AVS", il ne concerne pas des points de fait, mais soulève des questions de droit. Pour y répondre, il convient, en effet, d'interpréter les accords des parties à ce sujet à l'aide du principe de la confiance. Or, semblable démarche met en jeu l'application du droit fédéral. Sur ce point, le recours de droit public est, dès lors, irrecevable en raison de son caractère subsidiaire.</w:t>
      </w:r>
    </w:p>
    <w:p>
      <w:r>
        <w:rPr>
          <w:b/>
        </w:rPr>
        <w:t>E. 4</w:t>
      </w:r>
    </w:p>
    <w:p>
      <w:r>
        <w:t>La recourante reproche, enfin, à la Cour d'appel d'avoir violé le droit de procédure genevois en statuant ultra petita. Elle fait valoir, à ce propos, que l'intimé avait admis, en procédure, qu'il fallait imputer, sur les montants réclamés par lui, les prestations versées par la CGP. Or, la Cour d'appel ne les a pas imputées. En formulant ce reproche, la recourante méconnaît la portée du principe qu'elle invoque. Une demande est déterminée, quant à son objet, par les conclusions qui y sont prises, le fondement matériel de la prétention qui y est élevée et les faits qui y sont allégués. Devant la seconde instance cantonale, l'intimé n'a pas pris d'autres conclusions que celles qu'il avait soumises aux premiers juges. Il ne lui a pas non plus été alloué autre chose que ce qu'il avait demandé. Dans la mesure où la Cour d'appel ne lui a pas octroyé un capital déterminé, mais s'est bornée à constater que la recourante lui devait une rente limitée dans le temps, elle l'a fait uniquement pour tenir compte de ce qu'une partie des créances litigieuses n'étaient pas encore échues à la date du prononcé de son arrêt. Une rente ne constitue pas une prestation plus étendue qu'un capital, mais simplement une autre modalité de la même prestation. Aussi la conclusion visant à l'octroi d'un capital inclut-elle celle tendant à l'allocation d'une rente. Le fondement de la demande n'a pas non plus été étendu dans le cas concret. Pour effectuer ses calculs, l'intimé est parti de l'idée que les rentes déjà versées par la CGP devaient être imputées, mais que la recourante, en contrepartie, devait l'indemniser du fait que les rentes futures seraient réduites. A l'inverse, la Cour d'appel - tout en restant dans le cadre des conclusions de la demande - a considéré que les prestations de la caisse de prévoyance ne devaient pas être imputées, mais elle n'a, de ce fait, pas tenu compte de la réduction des rentes futures. La cour cantonale n'a ainsi procédé qu'à une appréciation juridique différente des faits que lui avait soumis l'intimé. Rien ne lui interdisait de le faire, si bien que le grief examiné se révèle infondé.</w:t>
      </w:r>
    </w:p>
    <w:p>
      <w:r>
        <w:rPr>
          <w:b/>
        </w:rPr>
        <w:t>E. 5</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