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4P.300/2004 vom 5. August 2005</w:t>
      </w:r>
    </w:p>
    <w:p>
      <w:r>
        <w:t>Bundesgericht, 2005-08-05, FR</w:t>
      </w:r>
    </w:p>
    <w:p>
      <w:r>
        <w:rPr>
          <w:b/>
        </w:rPr>
        <w:t xml:space="preserve">Quelle: </w:t>
      </w:r>
      <w:r>
        <w:t>https://mcp.opencaselaw.ch/entscheid/bger_4P.300_2004</w:t>
      </w:r>
    </w:p>
    <w:p>
      <w:r>
        <w:t>FR: TF 4P.300/2004 du 5 août 2005</w:t>
      </w:r>
    </w:p>
    <w:p>
      <w:r>
        <w:t>IT: TF 4P.300/2004 del 5 agosto 2005</w:t>
      </w:r>
    </w:p>
    <w:p>
      <w:pPr>
        <w:pStyle w:val="Heading2"/>
      </w:pPr>
      <w:r>
        <w:t>Regeste</w:t>
      </w:r>
    </w:p>
    <w:p>
      <w:r>
        <w:t>art. 9 et 29 al. 2 Cst.; droit d'être entendu; appréciation arbitraire des preuves; procédure civile genevoise | Procédure civile</w:t>
      </w:r>
    </w:p>
    <w:p>
      <w:pPr>
        <w:pStyle w:val="Heading2"/>
      </w:pPr>
      <w:r>
        <w:t>Erwägungen</w:t>
      </w:r>
    </w:p>
    <w:p>
      <w:r>
        <w:rPr>
          <w:b/>
        </w:rPr>
        <w:t>E. 1</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2.1</w:t>
      </w:r>
    </w:p>
    <w:p>
      <w:r>
        <w:t>La recourante soutient qu'elle avait invité les deux juridictions genevoises à administrer des preuves sur le point de savoir quel montant l'intimée percevra dans le cadre du concordat de SAirGroup. Elle leur reproche d'avoir méconnu son droit d'être entendue en ne donnant pas suite à cette réquisition.</w:t>
      </w:r>
    </w:p>
    <w:p>
      <w:r>
        <w:rPr>
          <w:b/>
        </w:rPr>
        <w:t>E. 2.2</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l'intimée percevra dans le cadre du concordat de SAirGroup. Elle méconnaît, au demeurant, la situation juridique telle qu'elle se présente en l'espèce. Si la recourante répond solidairement, aux côtés de SAirGroup, à l'égard de la créancière, comme le soutient l'intimée, celle-ci peut exiger de chacune des deux débitrices solidaires l'exécution intégrale de l'obligation restante. Il lui est loisible de choisir celle qu'elle entend rechercher. Elle n'a pas à déduire de sa créance ce qu'elle pourra obtenir de l'autre partie, mais uniquement ce qu'elle a déjà obtenu. La solution du litige ne nécessite donc pas de connaître le montant que l'intimée touchera dans le cadre du concordat de l'autre débitrice solidaire. Par conséquent, les juridictions cantonales n'étaient pas tenues d'administrer des preuves sur ce point.</w:t>
      </w:r>
    </w:p>
    <w:p>
      <w:r>
        <w:rPr>
          <w:b/>
        </w:rPr>
        <w:t>E. 3.1</w:t>
      </w:r>
    </w:p>
    <w:p>
      <w:r>
        <w:t>La recourante fait valoir, par ailleurs, que la Cour d'appel aurait procédé à une appréciation arbitraire d'un certain nombre de preuves. 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3.2</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l'intimée.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La même conclusion s'impose en ce qui concerne l'argument selon lequel l'intimée avait perçu du Seco des prestations qui étaient destinées exclusivement aux créanciers de SAirGroup. En effet, de telles prestations étaient soumises à la seule condition que cette société fût aussi la débitrice de l'intimée,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 Toujours selon la recourante, la Cour d'appel aurait procédé à une constatation de fait arbitraire en se fondant sur l'en-tête de certains documents remis à l'intimée pour en déduire l'identité de la débitrice des prestations du plan social. Elle aurait omis de faire la distinction qui s'impose entre les décomptes afférents aux salaires et ceux relatifs aux prestations découlant du plan social. En argumentant ainsi, l'intéressée méconnaît la distinction qui doit être opérée entre une question de fait et une question de droit. En l'espèce, le litige ne porte pas tant sur la question de savoir quels décomptes ont été établis sur quels papiers à lettres que sur celle des conséquences qu'il y a lieu d'en tirer. Il s'agit là toutefois d'une question juridique qui ne peut pas être soumise au juge constitutionnel. Pour le reste, dans la mesure où elles relèvent du fait, c'est-à-dire en tant qu'il y est retenu que certains décomptes ont été adressés à l'intimée sur papier à en-tête de la recourante, les constatations incriminées sont correctes et, partant, exemptes d'arbitraire. Le moyen examiné tombe, dès lors, à faux. Quant à l'argument de la recourante selon lequel l'intimée, à partir du moment où elle percevrait la rente versée par la CGP au titre de la retraite anticipée, n'aurait plus droit qu'à la prestation transitoire dénommée "Pont AVS", il ne concerne pas des points de fait, mais soulève des questions de droit. Pour y répondre, il convient, en effet, d'interpréter les accords des parties à ce sujet à l'aide du principe de la confiance. Or, semblable démarche met en jeu l'application du droit fédéral. Sur ce point, le recours de droit public est, dès lors, irrecevable en raison de son caractère subsidiaire.</w:t>
      </w:r>
    </w:p>
    <w:p>
      <w:r>
        <w:rPr>
          <w:b/>
        </w:rPr>
        <w:t>E. 3.3</w:t>
      </w:r>
    </w:p>
    <w:p>
      <w:r>
        <w:t>La recourante reproche, enfin, à la Cour d'appel d'avoir violé le droit de procédure genevois en statuant extra petita. Elle fait valoir, à ce propos, que l'intimée avait réclamé un montant déterminé au titre des facilités de transport, tandis que la cour cantonale n'en a fixé aucun, se contentant de constater le bien-fondé de cette prétention dans son principe. Il a échappé à la recourante que la Cour d'appel n'a pas accordé à l'intimée plus mais moins que ce que celle-ci réclamait. La simple constatation que la prétention élevée est justifiée va moins loin que l'octroi d'un montant à ce titre. La conclusion visant à obtenir un montant déterminé sur cette base inclut du reste aussi celle tendant simplement à constater que la créance invoquée à l'appui de la réclamation, quel que puisse être le montant de cette dernière, existe encore et toujours dans son principe. Ce dernier moyen est, en conséquence, dénué de tout fondement.</w:t>
      </w:r>
    </w:p>
    <w:p>
      <w:r>
        <w:rPr>
          <w:b/>
        </w:rPr>
        <w:t>E. 4</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