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4P.298/2006 vom 14. Februar 2007</w:t>
      </w:r>
    </w:p>
    <w:p>
      <w:r>
        <w:t>Bundesgericht, 2007-02-14, DE</w:t>
      </w:r>
    </w:p>
    <w:p>
      <w:r>
        <w:rPr>
          <w:b/>
        </w:rPr>
        <w:t xml:space="preserve">Quelle: </w:t>
      </w:r>
      <w:r>
        <w:t>https://mcp.opencaselaw.ch/entscheid/bger_4P.298_2006</w:t>
      </w:r>
    </w:p>
    <w:p>
      <w:r>
        <w:t>FR: TF 4P.298/2006 du 14 février 2007</w:t>
      </w:r>
    </w:p>
    <w:p>
      <w:r>
        <w:t>IT: TF 4P.298/2006 del 14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angefochtene Entscheid ist in englischer Sprache ergangen. Der Beschwerdeführer bedient sich im bundesgerichtlichen Verfahren der deutschen, der Beschwerdegegner der französischen Sprache. Praxisgemäss ergeht diesfalls das Urteil des Bundesgerichts in der Sprache der Beschwerde (vgl. Art. 37 Abs. 3 OG ).</w:t>
      </w:r>
    </w:p>
    <w:p>
      <w:r>
        <w:rPr>
          <w:b/>
        </w:rPr>
        <w:t>E. 3</w:t>
      </w:r>
    </w:p>
    <w:p>
      <w:r>
        <w:t>Die Zulässigkeit eines Rechtsmittels ist vom Bundesgericht von Amtes wegen zu prüfen ( BGE 132 III 747 E. 5 S. 748 mit Hinweis).</w:t>
      </w:r>
    </w:p>
    <w:p>
      <w:r>
        <w:rPr>
          <w:b/>
        </w:rPr>
        <w:t>E. 4</w:t>
      </w:r>
    </w:p>
    <w:p>
      <w:r>
        <w:t>Nach der Rechtsprechung des Bundesgerichts ist auch im internationalen Schiedsverfahren zwischen Endentscheiden und Teilentscheiden ( Art. 188 IPRG ) sowie Vor- oder Zwischenentscheiden ( Art. 190 Abs. 3 IPRG ) zu unterscheiden ( BGE 130 III 76 E. 3.1 S. 78 mit Hinweisen).</w:t>
      </w:r>
    </w:p>
    <w:p>
      <w:r>
        <w:t>Im vorliegenden Fall hat das TAS über die zwischen den Parteien streitigen Fragen der Gültigkeit der Optionsklausel und der Vertragsverletzung, nicht aber über die Folgen der Vertragsverletzung entschieden. Es hat den angefochtenen Entscheid des Büros der FIFA Spielerstatus-Kommission aufgehoben und die Sache zu neuer Entscheidung an die FIFA zurückgewiesen. Bei einem derartigen Rückweisungsentscheid handelt es sich nach der Praxis des Bundesgerichts um einen Zwischenentscheid ( BGE 128 I 3 E. 1b S. 7 ; 122 I 39 E. 1a/aa S. 41 f.).</w:t>
      </w:r>
    </w:p>
    <w:p>
      <w:r>
        <w:t>Im internationalen Schiedsverfahren können Vor- oder Zwischenentscheide bloss aus den in Art. 190 Abs. 2 lit. a und b IPRG genannten Gründen (Ernennung und Zusammensetzung des Schiedsgerichts; Zuständigkeit und Unzuständigkeit) mit der staatsrechtlichen Beschwerde angefochten werden. Andere Rügen sind unzulässig ( BGE 130 III 76 E. 3 und 4).</w:t>
      </w:r>
    </w:p>
    <w:p>
      <w:r>
        <w:rPr>
          <w:b/>
        </w:rPr>
        <w:t>E. 5</w:t>
      </w:r>
    </w:p>
    <w:p>
      <w:r>
        <w:t>Da die Verfahrensregeln der staatsrechtlichen Beschwerde anwendbar sind ( Art. 191 Abs. 1 IPRG ), müssen die Anforderungen von Art. 90 Abs. 1 lit. b OG beachtet werden. Im staatsrechtlichen Beschwerdeverfahren gilt das Rügeprinzip. Das Bundesgericht überprüft den angefochtenen Entscheid nur insoweit, als in der Beschwerdeschrift zulässige und ausreichend substanziierte Rügen erhoben werden ( BGE 127 III 279 E. 1c S. 282; 126 III 524 E. 1c S. 526 ; 125 I 71 E. 1c S. 76).</w:t>
      </w:r>
    </w:p>
    <w:p>
      <w:r>
        <w:t>In der Beschwerdeschrift beruft sich der Beschwerdeführer ausschliesslich auf den Beschwerdegrund von Art. 190 Abs. 2 lit. e IPRG (Verstoss gegen den Ordre public). Eine solche Rüge kann jedoch - wie bereits festgehalten - im internationalen Schiedsverfahren in einer gegen einen Vor- oder Zwischenentscheid gerichteten staatsrechtlichen Beschwerde nicht erhoben werden. Bringt der Beschwerdeführer somit keine zulässige Rüge vor, ist auf die staatsrechtliche Beschwerde nicht einzutreten ( BGE 130 III 76 E. 4.6 S. 86).</w:t>
      </w:r>
    </w:p>
    <w:p>
      <w:r>
        <w:rPr>
          <w:b/>
        </w:rPr>
        <w:t>E. 6</w:t>
      </w:r>
    </w:p>
    <w:p>
      <w:r>
        <w:t>Dem Ausgang des Verfahrens entsprechend ist die Gerichtsgebühr dem Beschwerdeführer aufzuerlegen ( Art. 156 Abs. 1 OG ). Er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