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4P.293/2004 vom 2. Mai 2005</w:t>
      </w:r>
    </w:p>
    <w:p>
      <w:r>
        <w:t>Bundesgericht, 2005-05-02, FR</w:t>
      </w:r>
    </w:p>
    <w:p>
      <w:r>
        <w:rPr>
          <w:b/>
        </w:rPr>
        <w:t xml:space="preserve">Quelle: </w:t>
      </w:r>
      <w:r>
        <w:t>https://mcp.opencaselaw.ch/entscheid/bger_4P.293_2004</w:t>
      </w:r>
    </w:p>
    <w:p>
      <w:r>
        <w:t>FR: TF 4P.293/2004 du 2 mai 2005</w:t>
      </w:r>
    </w:p>
    <w:p>
      <w:r>
        <w:t>IT: TF 4P.293/2004 del 2 maggio 2005</w:t>
      </w:r>
    </w:p>
    <w:p>
      <w:pPr>
        <w:pStyle w:val="Heading2"/>
      </w:pPr>
      <w:r>
        <w:t>Regeste</w:t>
      </w:r>
    </w:p>
    <w:p>
      <w:r>
        <w:t>art. 9 Cst. (procédure civile, mesures provisoires) | Procédure civile</w:t>
      </w:r>
    </w:p>
    <w:p>
      <w:pPr>
        <w:pStyle w:val="Heading2"/>
      </w:pPr>
      <w:r>
        <w:t>Erwägungen</w:t>
      </w:r>
    </w:p>
    <w:p>
      <w:r>
        <w:rPr>
          <w:b/>
        </w:rPr>
        <w:t>E. 1</w:t>
      </w:r>
    </w:p>
    <w:p>
      <w:r>
        <w:t>Le Tribunal fédéral examine d'office et librement la recevabilité des recours qui lui sont soumis ( ATF 131 I 57 consid. 1; 130 II 65 consid. 1, 321 consid. 1 p. 324, 509 consid. 8.1).</w:t>
      </w:r>
    </w:p>
    <w:p>
      <w:r>
        <w:rPr>
          <w:b/>
        </w:rPr>
        <w:t>E. 1.1</w:t>
      </w:r>
    </w:p>
    <w:p>
      <w:r>
        <w:t>Le Tribunal fédéral admet que la décision qui met fin à la procédure sur mesures provisionnelles soit considérée comme finale; même si elle devait être qualifiée de décision incidente, il faudrait reconnaître, en raison de sa nature, qu'elle cause un dommage irréparable (cf. ATF 123 I 325 consid. 3c p. 328 s.) ouvrant la voie du recours immédiat ( ATF 118 II 369 consid. 1 p. 371; 108 II 69 consid. 1 p. 71; plus récemment arrêt 4C.35/2003 du 3 juin 2003, consid. 1.3.1). Le recours contre l'arrêt du 18 novembre 2004 est par conséquent recevable au regard de l' art. 87 OJ .</w:t>
      </w:r>
    </w:p>
    <w:p>
      <w:r>
        <w:rPr>
          <w:b/>
        </w:rPr>
        <w:t>E. 1.2</w:t>
      </w:r>
    </w:p>
    <w:p>
      <w:r>
        <w:t>Compte tenu du caractère subsidiaire du recours de droit public ( art. 84 al. 2 OJ ), il faut encore se demander si les critiques de la recourante relatives à l'application du droit fédéral n'auraient pas dû être soulevées dans le cadre d'un recours en réforme (cf. art. 43 al. 1 OJ ). Sauf exceptions non réalisées en l'espèce, le recours en réforme n'est recevable que contre des décisions finales au sens de l' art. 48 al. 1 OJ . Cette notion est plus restrictive que celle retenue pour le recours de droit public (arrêt 4P.73/2002 du 26 juin 2002, publié in sic! 10/2002 p. 694, consid. 1.4 p. 695 et la référence à Corboz, Le recours en réforme au Tribunal fédéral, SJ 2000 II p. 1 ss, spéc. p. 6). Selon la jurisprudence, une décision est qualifiée de finale lorsque la juridiction cantonale statue sur le fond d'une prétention ou s'y refuse pour un motif empêchant définitivement que la même prétention soit exercée à nouveau entre les mêmes parties ( ATF 127 III 433 consid. 1b/aa, 474 consid. 1a p. 475 s.; 126 III 445 consid. 3b p. 446 s.). Il importe peu que la décision ait été prise en procédure sommaire, à condition notamment qu'elle ait été rendue à l'issue d'une procédure probatoire complète, non limitée à la vraisemblance des faits allégués, et qu'elle se fonde sur une motivation exhaustive en droit, sans qu'une procédure ordinaire demeure réservée ( ATF 126 III 445 consid. 3b p. 447; 119 II 241 consid. 2 p. 243). Sous réserve d'exceptions (cf. ATF 126 III 445 consid. 3b), les décisions rendues en matière de mesures provisionnelles ne remplissent pas ces exigences et ne sont pas considérées comme des décisions finales au sens de l' art. 48 al. 1 OJ (cf. ATF 126 III 261 consid. 1). L'arrêt attaqué n'échappe pas à cette règle. Rendu en application des art. 337a et 340b al. 3 CO , il n'exprime que la position des juges quant à l'opportunité d'assurer une protection juridique provisoire à l'intimée pendant le déroulement de la procédure au fond devant la juridiction des prud'hommes, sur la base de la vraisemblance des faits invoqués par celle-ci, sans préjudice du jugement au fond. Il ne s'agissait donc pas d'une décision finale au sens de l' art. 48 al. 1 OJ , de sorte que la voie du recours en réforme n'était pas ouverte en l'espèce.</w:t>
      </w:r>
    </w:p>
    <w:p>
      <w:r>
        <w:rPr>
          <w:b/>
        </w:rPr>
        <w:t>E. 1.3</w:t>
      </w:r>
    </w:p>
    <w:p>
      <w:r>
        <w:t>La recourante est personnellement touchée par la décision entreprise, qui entrave son activité professionnelle. Elle a ainsi un intérêt personnel, concret et actuel à ce que l'arrêt n'ait pas été adopté en violation de ses droits constitutionnels ( art. 84 al. 1 let. a OJ ). La qualité pour recourir doit lui être reconnue ( art. 88 OJ ).</w:t>
      </w:r>
    </w:p>
    <w:p>
      <w:r>
        <w:rPr>
          <w:b/>
        </w:rPr>
        <w:t>E. 1.4</w:t>
      </w:r>
    </w:p>
    <w:p>
      <w:r>
        <w:t>Au surplus, le recours a été interjeté en temps utile compte tenu des féries ( art. 34 al. 1 let . c et 89 al. 1 OJ).</w:t>
      </w:r>
    </w:p>
    <w:p>
      <w:r>
        <w:rPr>
          <w:b/>
        </w:rPr>
        <w:t>E. 1.5</w:t>
      </w:r>
    </w:p>
    <w:p>
      <w:r>
        <w:t>Vu la nature cassatoire du recours de droit public, les conclusions qui vont au-delà de la simple demande d'annulation du prononcé attaqué, superflues, sont irrecevables ( ATF 129 I 129 consid. 1.2.1 p. 131 s., 173 consid. 1.5). Tel est le cas de la conclusion tendant à la confirmation de la décision du Tribunal de première instance, qui résulterait de toute manière de l'admission éventuelle du recours, impliquant l'annulation de l'arrêt entrepris.</w:t>
      </w:r>
    </w:p>
    <w:p>
      <w:r>
        <w:rPr>
          <w:b/>
        </w:rPr>
        <w:t>E. 1.6</w:t>
      </w:r>
    </w:p>
    <w:p>
      <w:r>
        <w:t>Saisi d'un recours de droit public, le Tribunal fédéral n'examine que les griefs d'ordre constitutionnel invoqués et suffisamment motivés dans l'acte de recours ( art. 90 al. 1 let. b OJ ; ATF 130 I 26 consid. 2.1 p. 31, 258 consid. 1.3 p. 262; 129 I 113 consid. 2.1).</w:t>
      </w:r>
    </w:p>
    <w:p>
      <w:r>
        <w:rPr>
          <w:b/>
        </w:rPr>
        <w:t>E. 2</w:t>
      </w:r>
    </w:p>
    <w:p>
      <w:r>
        <w:t>Les juridictions genevoises ont successivement refusé, puis accordé à l'employeur des mesures provisionnelles relatives au contrat de travail, tendant à la cessation de l'activité interdite par une clause de prohibition de concurrence.</w:t>
      </w:r>
    </w:p>
    <w:p>
      <w:r>
        <w:rPr>
          <w:b/>
        </w:rPr>
        <w:t>E. 2.1</w:t>
      </w:r>
    </w:p>
    <w:p>
      <w:r>
        <w:t>Selon la jurisprudence, c'est le droit cantonal qui détermine si et à quelles conditions on peut protéger l'employeur par voie de mesures provisionnelles ( ATF 103 II 120 consid. 2b p. 123 s.; plus récemment arrêt 4P.98/1999 du 29 juin 1999, consid. 2b/aa).</w:t>
      </w:r>
    </w:p>
    <w:p>
      <w:r>
        <w:rPr>
          <w:b/>
        </w:rPr>
        <w:t>E. 2.2</w:t>
      </w:r>
    </w:p>
    <w:p>
      <w:r>
        <w:t>Si l'art. 320 al. 1 de la loi de procédure civile du canton de Genève du 10 avril 1987 (ci-après: LPC/GE) ne définit pas les différents types de mesures provisionnelles, les commentateurs en discernent trois catégories, soit les mesures provisionnelles au sens étroit visant à prévenir un dommage et à assurer l'exécution forcée ultérieure d'une obligation non pécuniaire, les mesures d'accompagnement réglementant les rapports entre les parties durant une procédure contentieuse et, enfin, les décisions de preuve à futur pour la sauvegarde anticipée des moyens de preuve (cf. Bertossa/Gaillard/ Guyet/Schmidt, Commentaire de la loi de procédure civile du canton de Genève du 10 avril 1987, tome III, n. 2 ad art. 320 LPC /GE). Ces catégories correspondent à celles retenues par la doctrine dans l'énoncé des standards généraux de procédure civile, les mesures provisionnelles au sens strict étant qualifiées plutôt de mesures conservatoires et les mesures d'accompagnement nommées "mesures de réglementation" (cf. Hohl, Procédure civile [ci-après: Procédure], tome II, Berne 2002, n. 2777 p. 229; Vogel/Spühler, Grundriss des Zivilprozessrechts, 7e éd., Berne 2001, n. 192 ss p. 349 ss; Habscheid, Schweizerisches Zivilprozess- und Gerichtsorganisationsrecht, 2e éd., Bâle 1990, n. 611 ss p. 363 s.). Même si la notion de mesures d'exécution anticipée provisoires (cf. Hohl, op. cit. Procédure, n. 2777 p. 229; Vogel/Spühler, op. cit., n. 196 s. p. 350 s.) n'est pas expressément mentionnée par le droit genevois de procédure, les situations qu'elle vise, soit l'exécution anticipée provisoire ayant pour objet des prestations en argent ou des obligations de s'abstenir ou de faire, peuvent être appréhendées notamment par la saisie-revendication provisionnelle de l' art. 321 LPC /GE et par les mesures provisionnelles innommées de l' art. 324 LPC /GE. Le classement d'une mesure dans l'une ou l'autre de ces catégories est parfois très difficile (Hohl, op. cit. Procédure, n. 2778 p. 229), mais n'est pas dénué d'effet pratique, dans la mesure où il peut avoir une incidence sur le degré de preuve requis (cf. Hohl, op. cit. Procédure, n. 2868 ss p. 244 s.). Certaines mesures présentent les caractéristiques réunies de deux types de mesures provisionnelles; ainsi, l'interdiction de faire concurrence peut apparaître comme une simple mesure conservatoire (ou mesure provisionnelle au sens étroit, selon la terminologie genevoise) qui tend au maintien de l'objet du litige, mais elle implique aussi pour l'employé une restriction dans l'exercice de son droit et l'exécution anticipée du jugement au fond, raison pour laquelle on peut la considérer comme une mesure d'exécution anticipée (cf. Hohl, La réalisation du droit et les procédures rapides [ci-après: Réalisation], Fribourg 1994, note de bas de page 3 p. 162).</w:t>
      </w:r>
    </w:p>
    <w:p>
      <w:r>
        <w:rPr>
          <w:b/>
        </w:rPr>
        <w:t>E. 2.3</w:t>
      </w:r>
    </w:p>
    <w:p>
      <w:r>
        <w:t>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pour les trois catégories susmentionnées, sans exception (cf. Hohl, op. cit. Procédure, n. 2799 ss p. 233, n. 2837 p. 239 et n. 2877 ss p. 246). Dans les trois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celle-ci peut entraîner pour l'intimé (Hohl, op. cit. Procédure, n. 2820 s. p. 236; Vogel/Spühler, op. cit., n. 210 p. 355). Des exigences beaucoup plus élevées sont posées pour les mesures d'exécution anticipée provisoires, qui portent une atteinte particulièrement grave à la situation juridique de l'intimé et qui ne peuvent être admises que de façon restrictive (cf. Vogel/Spühler, op. cit., n. 200 p. 351 et n. 208 p. 354). C'est en particulier le cas lorsque la décision sur la mesure requise est susceptible d'avoir un effet définitif, parce que le litige n'a plus d'intérêt au-delà du stade des mesures provisionnelles (cf. Hohl, op. cit. Procédure, n. 2868 ss p. 244 s.), ce qui se produit par exemple en matière d'interdiction de faire concurrence, selon l' art. 340b al. 3 CO , lorsqu'il est presque certain que le délai maximal de prohibition de trois ans (cf. art. 340a al. 1 CO ) sera expiré à l'issue de la procédure au fond, dont le jugement deviendra sans objet (cf. Hohl, op. cit. Réalisation, n. 679 in fine p. 222). Enfin, il appartient à l'autorité cantonale saisie d'une requête de mesures provisionnelles tendant à la cessation de l'activité prohibée de vérifier, même selon les règles de la procédure sommaire, la validité matérielle de la clause considérée (cf. Bohny, Das arbeitsvertragliche Konkurrenzverbot, Zurich 1989, p. 166; Haefliger, Das Konkurrenzverbot im neuen schweizerischen Arbeitsvertragsrecht, 2e éd., Berne 1975, p. 86 s.).</w:t>
      </w:r>
    </w:p>
    <w:p>
      <w:r>
        <w:rPr>
          <w:b/>
        </w:rPr>
        <w:t>E. 3</w:t>
      </w:r>
    </w:p>
    <w:p>
      <w:r>
        <w:t>Dans l'un de ses griefs, la recourante, invoquant l' art. 9 Cst. , reproche à la cour cantonale d'avoir fait une application arbitraire de l' art. 340b al. 3 CO , en ce sens qu'elle n'aurait pas procédé à une pesée des intérêts avant de lui interdire de travailler auprès de son nouvel employeur.</w:t>
      </w:r>
    </w:p>
    <w:p>
      <w:r>
        <w:rPr>
          <w:b/>
        </w:rPr>
        <w:t>E. 3.1</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131 I 57 consid. 2; 129 I 8 consid. 2.1). Arbitraire et violation de la loi ne sauraient être confondus; une violation doit être manifeste et reconnue d'emblée pour être arbitraire. Le Tribunal fédéral n'a pas à examiner quelle est l'interprétation correcte que l'autorité cantonale aurait dû donner des dispositions applicables; il doit uniquement dire si l'interprétation qui a été retenue est défendable. Il n'y a pas arbitraire du seul fait qu'une autre solution paraît également concevable, voire préférable ( ATF 131 I 57 consid. 2; 129 I 8 consid. 2.1). En outre, pour qu'une décision soit annulée pour cause d'arbitraire, il ne suffit pas que la motivation formulée soit insoutenable, il faut encore que la décision apparaisse arbitraire dans son résultat ( ATF 129 I 173 consid. 3.1 p. 178; 127 I 38 consid. 2a p. 41, 54 consid. 2b).</w:t>
      </w:r>
    </w:p>
    <w:p>
      <w:r>
        <w:rPr>
          <w:b/>
        </w:rPr>
        <w:t>E. 3.2</w:t>
      </w:r>
    </w:p>
    <w:p>
      <w:r>
        <w:t>Aux termes de l' art. 340b al. 3 CO ,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 d'autre part, la lésion ou la mise en danger des intérêts de celui-ci, ainsi que le comportement du travailleur, doivent justifier l'interdiction ou la suspension de l'activité concurrente. Ces deux dernières conditions matérielles sont cumulatives (Neeracher, Das arbeitsvertragliche Konkurrenzverbot, Berne 2001, p. 120; Staehelin, Commentaire zurichois, n. 16 ad art. 340b CO ; Bohny, op. cit., p. 162). En règle générale, la simple violation de la clause de prohibition de concurrence n'est pas suffisante (Tercier, Les contrats spéciaux, 3e éd., Zurich 2003, n. 3503 p. 511; Favre/Munoz/Tobler, Le contrat de travail, Lausanne 2001, n. 3.2 ad art. 340b CO ). La plupart des juridictions cantonales admettent au contraire qu'il n'y a lieu d'accorder la mesure provisionnelle que lorsque l'employeur rend vraisemblable que le dommage qu'il subit est considérable et difficilement réparable et que la violation de son engagement contractuel par le travailleur apparaît particulièrement lourde et contraire à la bonne foi (Tercier, op. cit., n. 3503 p. 511; Favre/Munoz/Tobler, op. cit., n. 3.2 ad art. 340b CO ; sur ces notions, cf. également Brühwiler, Kommentar zum Einzelarbeitsvertrag, 2e éd., Berne 1996, n. 4 ad art. 340b CO ; Staehelin, op. cit., n. 16 ss ad art. 340b CO ; Streiff/von Kaenel, Leitfaden zum Arbeitsvertragsrecht, 5e éd., Zurich 1992, n. 8 ad art. 340b CO ). Certains auteurs sont même d'avis que le risque d'un dommage doit être tel qu'il puisse mettre en péril la prospérité ou l'existence de l'entreprise (Tercier, op. cit., n. 3503 p. 511; Favre/Munoz/Tobler, op. cit., n. 3.2 ad art. 340b CO ; Haefliger, op. cit., p. 76; contra Aubert, Commentaire romand, n. 4 ad art. 340b CO ; Neeracher, op. cit., p. 119 s.; Staehelin, op. cit., n. 17 ad art. 340b CO ). Dans une jurisprudence ancienne, le Tribunal de céans a réfuté cette manière de voir ( ATF 103 II 120 consid. 4; arrêt P.1282/1981 du 28 septembre 1981, traduit au JdT 1982 I p. 170, consid. 3b p. 172). Ultérieurement, il a prononcé que l' art. 340b al. 3 CO , en tant qu'il implique l'examen de la situation de l'employeur, d'une part, et de la conduite du travailleur, d'autre part, confère un large pouvoir d'appréciation au juge qui est saisi d'une demande de cessation de la contravention (arrêt 4P.167/1995 du 27 octobre 1995, publié in JAR 1997 p. 223, consid. 2d p. 226 s.; plus récemment arrêt 4P.98/1999 du 29 juin 1999, consid. 2b). Dans ce dernier arrêt, le Tribunal fédéral a encore précisé que, pour le surplus, il allait sans dire que l'ordre de cesser l'activité prohibée était une mesure des plus draconiennes, dès lors qu'elle était de nature, le cas échéant, à priver le travailleur de sa seule source de revenus (arrêt 4P.98/1999 du 29 juin 1999, consid. 2b; en ce sens, (cf. également Tercier, op. cit., n. 3501 p. 510; Wyler, Droit du travail, Berne 2002, p. 455). La décision sur la requête de mesures provisionnelles a une importance particulière dans la mesure où, dans un cas comme dans l'autre, par rapport aux intérêts de l'employeur et du travailleur, elle peut conduire à un résultat inéquitable (Neeracher, op. cit., p. 122). Il s'ensuit qu'elle ne peut être rendue qu'au terme d'une pesée globale des intérêts contradictoires en présence et de l'examen des conditions particulières aux mesures provisionnelles requises (Neeracher, op. cit., p. 122).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En raison du caractère particulièrement sensible des intérêts touchés, la protection juridique provisoire ne doit être accordée que lorsque la demande apparaît fondée de manière relativement claire, au vu de l'état de fait rendu vraisemblable (cf. Neeracher, op. cit., p. 123 et 124; Brühwiler, op. cit., n. 5 ad art. 340b CO ; Staehelin, op. cit., n. 20 ad art. 340b CO ). Sous l'angle des inconvénients subis par les parties, les considérations financières ne sont pas les seules déterminantes. Vis-à-vis du demandeur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 d'expérience encourue pendant l'interdiction provisoire (cf. Neeracher, op. cit., p. 125).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(Neeracher, op. cit., p. 124 et 125). La pesée des intérêts en présence, indissociable de toute procédure de mesures provisionnelles (cf. consid. 2.3), revêt ainsi une importance encore plus décisive en matière d'interdiction provisoire de faire concurrence.</w:t>
      </w:r>
    </w:p>
    <w:p>
      <w:r>
        <w:rPr>
          <w:b/>
        </w:rPr>
        <w:t>E. 3.3</w:t>
      </w:r>
    </w:p>
    <w:p>
      <w:r>
        <w:t>Dans le cas présent, la cour cantonale a considéré qu'il était établi que la recourante avait commencé à travailler auprès d'une entreprise concurrente de l'intimée dès le 2 juillet 2004. Les circonstances dans lesquelles elle avait donné son congé à son employeur démontraient qu'elle souhaitait être rapidement déliée de la clause de prohibition de concurrence contenue dans son contrat. Au stade des mesures provisionnelles, l'intimée avait allégué de manière suffisamment précise que la nouvelle activité de la recourante était susceptible de lui causer un préjudice. On devait constater à cet égard que les domaines de recrutement et de placement d'employés étaient semblables dans les deux entreprises et que l'activité de la recourante avait commencé aussitôt qu'elle l'avait pu après avoir quitté la société intimée. Dans la mesure où l'on ne pouvait exiger de l'employeur qu'il démontre l'existence de son dommage, les mesures provisionnelles devaient être prononcées. Si la recourante - comme elle l'affirmait dans ses écritures - avait véritablement quitté la société concurrente après une mission de deux semaines en juillet 2004, l'interdiction de faire concurrence ne lui causerait d'ailleurs aucun préjudice.</w:t>
      </w:r>
    </w:p>
    <w:p>
      <w:r>
        <w:rPr>
          <w:b/>
        </w:rPr>
        <w:t>E. 3.4</w:t>
      </w:r>
    </w:p>
    <w:p>
      <w:r>
        <w:t>Le raisonnement qui précède ne satisfait pas aux exigences susmentionnées et procède manifestement d'une application arbitraire de l' art. 340b al. 3 CO . En effet, la cour cantonale a méconnu que la simple violation de la clause de prohibition de concurrence - que la recourante ne remet à juste titre plus en cause - ne suffisait pas pour qu'une interdiction de travailler soit prononcée et elle a purement et simplement négligé de procéder à une balance des intérêts. Les juges cantonaux ne pouvaient pas retenir, sur la base de l'état de fait déterminant, que l'intimée avait rendu vraisemblable qu'elle subissait concrètement un dommage considérable et difficilement réparable. En effet, il découle des constatations cantonales que l'employeur n'a démontré son intérêt à l'octroi de la protection provisionnelle que par le fait que la recourante avait trouvé une place au sein d'une entreprise concurrente, dans la même ville. Pour le surplus, il n'apparaît pas que l'entreprise ait été mise en péril par le départ de la recourante et son engagement au sein d'une société concurrente et il résulte au contraire du dossier que la situation économique de l'intimée s'est améliorée. En effet, celle-ci était en situation d'insolvabilité dès l'année 2002, et menacée de faillite avant de faire l'objet d'un sursis concordataire, pendant pratiquement toute la période où la recourante a travaillé chez elle, dès le 10 avril 2003. Par la suite, la situation s'est stabilisée, l'intimée ayant pu obtenir l'homologation de son concordat le 26 octobre 2004, soit environ trois mois et demi après que la recourante ait développé son activité auprès de son nouvel employeur. Il résulte de l'homologation du concordat que, nonobstant la violation de la clause de prohibition de concurrence dont la validité au fond doit être examinée par le Tribunal des prud'hommes, le Tribunal de première instance a jugé que la situation de l'intimée était assainie et son redressement suffisant pour permettre la continuation de son activité économique et le désintéressement de ses créanciers. Par ailleurs, l'intimée n'a nullement allégué que son ancienne collaboratrice aurait utilisé des éléments ou des données provenant de son réseau commercial de demandeurs d'emploi ou d'entreprises offrant du travail à ces derniers. Si le risque théorique d'un préjudice provenant de l'activité de l'intimée au sein d'une entreprise concurrente est allégué et paraît vraisemblable, son ampleur et les modalités concrètes de sa survenance éventuelle ne sont pas démontrées, même au stade de la vraisemblance. Cela étant, l'intimée n'a pas non plus rendu vraisemblable que la violation, par la recourante, de son engagement contractuel avait été particulièrement lourde et contraire à la bonne foi, en d'autre termes que celle-ci avait eu un comportement déloyal. A cet égard, il est douteux que l'on puisse retenir, ainsi que l'a fait la cour cantonale, que les circonstances dans lesquelles la recourante avait donné son congé démontraient qu'elle souhaitait être rapidement déliée de la clause de prohibition de concurrence contenue dans son contrat. Un laps de temps d'environ un mois et demi s'est en effet écoulé entre le moment où la recourante a quitté l'intimée et celui où elle a commencé à travailler pour son nouvel employeur. Quoi qu'il en soit, quand bien même l'abandon immédiat de la place de travail peut selon les cas apparaître comme constitutif d'un comportement déloyal, il ne saurait être considéré comme tel dans la présente espèce. Il sied en effet de rappeler les circonstances particulières dans lesquelles la recourante a résilié le contrat de travail qui la liait à l'intimée, au vu des risques sérieux d'insolvabilité de celle-ci, alors en sursis concordataire, et du fait que les garanties requises n'ont été constituées que postérieurement à l'échéance du délai imparti par la recourante. Dans tous les cas, la cour cantonale aurait dû, au terme de la pesée des intérêts en présence, retenir que l'intérêt de la recourante à continuer sa nouvelle activité l'emportait sur celui de l'intimée à obtenir la cessation immédiate provisoire de celle-ci pour une durée indéterminée. L'inconvénient que subirait la recourante, qui serait contrainte d'abandonner son activité professionnelle pendant la durée de la procédure au fond, et se retrouverait sans revenu pendant un certain nombre de mois, était en effet majeur. De plus, la cessation temporaire de son activité, alors qu'il n'est pas démontré qu'elle pourrait en occuper une autre, vu sa profession de conseillère en personnel, la menacerait, outre de la perte de son revenu pendant cette période, d'une grande difficulté de retrouver une place de travail dans le même domaine. Partant, les juges cantonaux auraient dû refuser les mesures provisionnelles sollicitées, ce d'autant plus que la procédure au fond a déjà été introduite il y a plusieurs mois, de sorte que le risque que la clause de prohibition de concurrence ne devienne sans effet par l'écoulement du temps est en l'espèce quasi inexistant (trois ans dès le 2 juillet 2004).</w:t>
      </w:r>
    </w:p>
    <w:p>
      <w:r>
        <w:rPr>
          <w:b/>
        </w:rPr>
        <w:t>E. 4</w:t>
      </w:r>
    </w:p>
    <w:p>
      <w:r>
        <w:t>Les considérants qui précèdent commandent l'admission du recours et l'annulation de l'arrêt de la Cour de justice du 18 novembre 2004, sans qu'il soit nécessaire d'examiner les autres moyens soulevés par la recourante, notamment la violation de l' art. 27 Cst.</w:t>
      </w:r>
    </w:p>
    <w:p>
      <w:r>
        <w:rPr>
          <w:b/>
        </w:rPr>
        <w:t>E. 5</w:t>
      </w:r>
    </w:p>
    <w:p>
      <w:r>
        <w:t>Compte tenu de l'issue du litige, les frais et dépens seront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