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4P.292/2004 vom 5. August 2005</w:t>
      </w:r>
    </w:p>
    <w:p>
      <w:r>
        <w:t>Bundesgericht, 2005-08-05, FR</w:t>
      </w:r>
    </w:p>
    <w:p>
      <w:r>
        <w:rPr>
          <w:b/>
        </w:rPr>
        <w:t xml:space="preserve">Quelle: </w:t>
      </w:r>
      <w:r>
        <w:t>https://mcp.opencaselaw.ch/entscheid/bger_4P.292_2004</w:t>
      </w:r>
    </w:p>
    <w:p>
      <w:r>
        <w:t>FR: TF 4P.292/2004 du 5 août 2005</w:t>
      </w:r>
    </w:p>
    <w:p>
      <w:r>
        <w:t>IT: TF 4P.292/2004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3.1</w:t>
      </w:r>
    </w:p>
    <w:p>
      <w:r>
        <w:t>La recourante soutient qu'elle avait invité les deux juridictions genevoises à administrer des preuves sur le point de savoir quel montant l'intimé percevra dans le cadre du concordat de SAirGroup. Elle leur reproche d'avoir méconnu son droit d'être entendue et d'avoir violé arbitrairement les règles du droit de procédure civile genevois en ne donnant pas suite à cette réquisition.</w:t>
      </w:r>
    </w:p>
    <w:p>
      <w:r>
        <w:rPr>
          <w:b/>
        </w:rPr>
        <w:t>E. 3.2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3.3</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w:t>
      </w:r>
    </w:p>
    <w:p>
      <w:r>
        <w:t>La recourante fait valoir, par ailleurs, que la Cour d'appel aurait procédé à une appréciation arbitraire d'un certain nombre de preuves.</w:t>
      </w:r>
    </w:p>
    <w:p>
      <w:r>
        <w:rPr>
          <w:b/>
        </w:rPr>
        <w:t>E. 4.1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 avait perçu du Seco des prestations qui étaient destinées exclusivement aux créanciers de SAirGroup. En effet, de telles prestations étaient soumises à la seule condition que cette société fût aussi la débitrice de l'intimé,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5</w:t>
      </w:r>
    </w:p>
    <w:p>
      <w:r>
        <w:t>La Cour d'appel se voit enfin reprocher d'avoir violé le droit de procédure genevois en statuant ultra petita sur deux points. En premier lieu, la recourante soutient que l'intimé aurait soumis aux juges cantonaux une conclusion tendant au paiement d'une certaine somme, augmentée du nombre de mois restant à courir jusqu'à la date du prononcé de leur arrêt. Aussi leur fait-elle grief d'avoir accordé à l'intéressé plus que ce qu'il réclamait en constatant qu'il avait également droit à des prestations non encore échues à cette date-là. La recevabilité de ce moyen est sujette à caution dans la mesure où la recourante n'indique pas d'où elle tire son affirmation quant au contenu des conclusions prises en appel par l'intimé. Or, il n'appartient pas à la juridiction constitutionnelle d'aller rechercher elle-même, dans le dossier cantonal, l'écriture où figureraient ces conclusions pour vérifier si l'affirmation de la recourante correspond à la réalité. Quoi qu'il en soit, la Cour d'appel constate, à la page 12 de son arrêt, sous lettre K., que l'intimé lui avait demandé de faire en sorte que la recourante "admette être tenue à verser le pont AVS, compté à hauteur de 2'060 fr. (sic) mensuellement, jusqu'au 31 mai 2006 (recte 30 septembre 2006) inclus". Cette constatation, qui n'est pas attaquée dans le présent recours, prive de tout fondement le grief tiré de la violation du principe ne ultra petita partium, étant donné que la constatation relative à la dette correspondante de la recourante, telle qu'elle figure dans le dispositif de l'arrêt, porte sur un montant inférieur à celui réclamé par l'intimé et sur une période qui ne va pas au-delà de celle voulue par l'intéressé. La recourante fait encore valoir que l'intimé avait réclamé un montant déterminé au titre des facilités de transport, tandis que la cour cantonale n'en a fixé aucun, se contentant de constater le bien-fondé de cette prétention dans son principe. Il lui a échappé que la Cour d'appel n'a pas accordé à l'intimé plus mais moins que ce que celui-ci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6</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