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4P.290/2004 vom 5. August 2005</w:t>
      </w:r>
    </w:p>
    <w:p>
      <w:r>
        <w:t>Bundesgericht, 2005-08-05, FR</w:t>
      </w:r>
    </w:p>
    <w:p>
      <w:r>
        <w:rPr>
          <w:b/>
        </w:rPr>
        <w:t xml:space="preserve">Quelle: </w:t>
      </w:r>
      <w:r>
        <w:t>https://mcp.opencaselaw.ch/entscheid/bger_4P.290_2004</w:t>
      </w:r>
    </w:p>
    <w:p>
      <w:r>
        <w:t>FR: TF 4P.290/2004 du 5 août 2005</w:t>
      </w:r>
    </w:p>
    <w:p>
      <w:r>
        <w:t>IT: TF 4P.290/2004 del 5 agosto 2005</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w:t>
      </w:r>
    </w:p>
    <w:p>
      <w:r>
        <w:t>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w:t>
      </w:r>
    </w:p>
    <w:p>
      <w:r>
        <w:t>Il y a lieu, partant, d'entrer en matière.</w:t>
      </w:r>
    </w:p>
    <w:p>
      <w:r>
        <w:rPr>
          <w:b/>
        </w:rPr>
        <w:t>E. 3.1</w:t>
      </w:r>
    </w:p>
    <w:p>
      <w:r>
        <w:t>La recourante soutient qu'elle avait invité les deux juridictions genevoises à administrer des preuves sur le point de savoir quel montant l'intimé percevra dans le cadre du concordat de SAirGroup. Elle leur reproche d'avoir méconnu son droit d'être entendue et d'avoir violé arbitrairement les règles du droit de procédure civile genevois en ne donnant pas suite à cette réquisition.</w:t>
      </w:r>
    </w:p>
    <w:p>
      <w:r>
        <w:rPr>
          <w:b/>
        </w:rPr>
        <w:t>E. 3.2</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w:t>
      </w:r>
    </w:p>
    <w:p>
      <w:r>
        <w:t>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 percevra dans le cadre du concordat de SAirGroup. Elle méconnaît, au demeurant, la situation juridique telle qu'elle se présente en l'espèce. Si la recourante répond solidairement, aux côtés de SAirGroup, à l'égard du créancier, comme le soutient l'intimé, celui-ci peut exiger de chacune des deux débitrices solidaires l'exécution intégrale de l'obligation restante. Il lui est loisible de choisir celle qu'il entend rechercher. Il n'a pas à déduire de sa créance ce qu'il pourra obtenir de l'autre partie, mais uniquement ce qu'il a déjà obtenu. La solution du litige ne nécessite donc pas de connaître le montant que l'intimé touchera dans le cadre du concordat de l'autre débitrice solidaire. Par conséquent, les juridictions cantonales n'étaient pas tenues d'administrer des preuves sur ce point.</w:t>
      </w:r>
    </w:p>
    <w:p>
      <w:r>
        <w:rPr>
          <w:b/>
        </w:rPr>
        <w:t>E. 3.3</w:t>
      </w:r>
    </w:p>
    <w:p>
      <w:r>
        <w:t>Dans la mesure où la Cour d'appel n'avait pas à donner suite à une requête tendant à faire administrer des preuves au sujet d'un fait juridiquement non pertinent, la recourante lui reproche en pure perte d'avoir violé de manière arbitraire les règles de la procédure genevoise. Les explications qu'elle fournit à cet égard ne sont de surcroît pas propres à démontrer en quoi les juges genevois auraient non seulement méconnu les dispositions mentionnées dans l'acte de recours, mais, qui plus est, les auraient interprétées ou appliquées de manière insoutenable.</w:t>
      </w:r>
    </w:p>
    <w:p>
      <w:r>
        <w:rPr>
          <w:b/>
        </w:rPr>
        <w:t>E. 4</w:t>
      </w:r>
    </w:p>
    <w:p>
      <w:r>
        <w:t>La recourante fait valoir, par ailleurs, que la Cour d'appel aurait procédé à une appréciation arbitraire d'un certain nombre de preuves.</w:t>
      </w:r>
    </w:p>
    <w:p>
      <w:r>
        <w:rPr>
          <w:b/>
        </w:rPr>
        <w:t>E. 4.1</w:t>
      </w:r>
    </w:p>
    <w:p>
      <w:r>
        <w:t>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4.2.1</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w:t>
      </w:r>
    </w:p>
    <w:p>
      <w:r>
        <w:t>Au demeurant, les moyens de preuve que la cour cantonale aurait arbitrairement passés sous silence ne sont d'aucun secours pour déterminer si la recourante répond, elle aussi, de la créance litigieuse. La même conclusion s'impose en ce qui concerne l'argument selon lequel l'intimé avait reçu du Secrétariat d'Etat à l'économie (Seco) un courrier qui était destiné exclusivement aux créanciers de SAirGroup. Il en irait d'ailleurs également ainsi au cas où l'intimé aurait perçu des prestations de cet organisme étatique. En effet, de telles prestations étaient soumises à la seule condition que cette société fût aussi la débitrice de l'intimé,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w:t>
      </w:r>
    </w:p>
    <w:p>
      <w:r>
        <w:rPr>
          <w:b/>
        </w:rPr>
        <w:t>E. 5</w:t>
      </w:r>
    </w:p>
    <w:p>
      <w:r>
        <w:t>La recourante reproche enfin à la Cour d'appel d'avoir violé le droit de procédure genevois en statuant ultra petita. Elle lui fait grief d'avoir alloué à l'intimé, pour une certaine période, une rente supérieure à celle que celui-ci réclamait pour ladite période. En réalité, comme l'intimé le démontre de manière convaincante dans sa réponse au recours, il avait conclu au paiement d'une rente limitée dans le temps ainsi que d'un montant en capital. Or, les sommes que la recourante a été condamnée à lui payer, resp. dont elle a été reconnue débitrice envers lui, représentent un total inférieur à celui des prétentions élevées par l'intimé. Et la cour cantonale n'était limitée que par le montant global réclamé sous forme de rente et/ou de capital. Ce dernier moyen tombe, dès lors, à faux.</w:t>
      </w:r>
    </w:p>
    <w:p>
      <w:r>
        <w:rPr>
          <w:b/>
        </w:rPr>
        <w:t>E. 6</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