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4P.285/2005 vom 27. März 2006</w:t>
      </w:r>
    </w:p>
    <w:p>
      <w:r>
        <w:t>Bundesgericht, 2006-03-27, FR</w:t>
      </w:r>
    </w:p>
    <w:p>
      <w:r>
        <w:rPr>
          <w:b/>
        </w:rPr>
        <w:t xml:space="preserve">Quelle: </w:t>
      </w:r>
      <w:r>
        <w:t>https://mcp.opencaselaw.ch/entscheid/bger_4P.285_2005</w:t>
      </w:r>
    </w:p>
    <w:p>
      <w:r>
        <w:t>FR: TF 4P.285/2005 du 27 mars 2006</w:t>
      </w:r>
    </w:p>
    <w:p>
      <w:r>
        <w:t>IT: TF 4P.285/2005 del 27 marzo 2006</w:t>
      </w:r>
    </w:p>
    <w:p>
      <w:pPr>
        <w:pStyle w:val="Heading2"/>
      </w:pPr>
      <w:r>
        <w:t>Regeste</w:t>
      </w:r>
    </w:p>
    <w:p>
      <w:r>
        <w:t>art. 5, 8, 9, 27 et 29 Cst.; procédure civile genevoise; concurrence déloyale | Procédure civile</w:t>
      </w:r>
    </w:p>
    <w:p>
      <w:pPr>
        <w:pStyle w:val="Heading2"/>
      </w:pPr>
      <w:r>
        <w:t>Erwägungen</w:t>
      </w:r>
    </w:p>
    <w:p>
      <w:r>
        <w:rPr>
          <w:b/>
        </w:rPr>
        <w:t>E. 1</w:t>
      </w:r>
    </w:p>
    <w:p>
      <w:r>
        <w:t>Il ressort des publications qui en ont été faites dans la Feuille officielle suisse du commerce (FOSC) que les fondations CC.________ Gesundheitskasse, DD.________ Assurances, Caisse maladie et accidents, et Caisse-maladie EE.________, toutes trois codérenderesses, ont été radiées du registre du commerce, le 16 novembre 2005, du fait que leurs actifs et passifs ont été repris par la fondation Q.________. Conformément à la jurisprudence et à la doctrine, cette fondation, elle-même défenderesse dans la cause en litige, a succédé de plein droit, dans la procédure fédérale, aux trois fondations radiées ( ATF 106 II 346 consid. 1; arrêt 4C.438/2004 du 5 août 2005, consid. 1; Jean-François Poudret, COJ, n. 2 ad art. 40 p. 343 in limine). De même, la Caisse-Maladie AA.________, codéfenderesse, a été radiée, le 27 septembre 2005, suite à la reprise de ses actifs et passifs par la fondation Krankenversicherung L.________, elle aussi défenderesse. Le rubrum du présent arrêt tient compte de ces modifications ainsi que du changement de raison sociale de la défenderesse Caisse-maladie BB.________, devenue la Fondation O.________.</w:t>
      </w:r>
    </w:p>
    <w:p>
      <w:r>
        <w:rPr>
          <w:b/>
        </w:rPr>
        <w:t>E. 2.1</w:t>
      </w:r>
    </w:p>
    <w:p>
      <w:r>
        <w:t>Le recours de droit public au Tribunal fédéral est ouvert contre une décision cantonale pour violation des droits constitutionnels des citoyens ( art. 84 al. 1 let. a OJ ). L'arrêt entrepris, rendu en instance unique par la cour cantonale, est une décision finale qui ne peut être soumise au Tribunal fédéral par aucun autre moyen de droit dans la mesure où les recourantes se plaignent de la violation directe d'un droit de rang constitutionnel; en conséquence, la règle de la subsidiarité absolue du recours de droit public ( art. 84 al. 2 OJ ) n'a pas été méconnue in casu. En revanche, si les recourantes soulevaient une question relevant de l'application du droit fédéral, le grief correspondant ne serait pas recevable, parce qu'il pouvait être présenté dans le recours en réforme qui a été interjeté parallèlement contre le même arrêt ( art. 43 al. 1 OJ ). Les recourantes sont personnellement touchées par la décision attaquée, qui refuse de faire droit à leurs conclusions visant notamment à faire constater le caractère prétendument déloyal du comportement adopté par les intimées dans la campagne publicitaire incriminée. Elles ont donc un intérêt personnel, actuel et juridiquement protégé à ce que cette décision n'ait pas été prise en violation de leurs droits constitutionnels; dès lors, leur qualité pour recourir doit être admise ( art. 88 OJ ). Exercé en temps utile ( art. 89 al. 1 OJ ) et dans la forme prévue par la loi ( art. 90 al. 1 OJ ), le recours est en principe recevable.</w:t>
      </w:r>
    </w:p>
    <w:p>
      <w:r>
        <w:rPr>
          <w:b/>
        </w:rPr>
        <w:t>E. 2.2</w:t>
      </w:r>
    </w:p>
    <w:p>
      <w:r>
        <w:t>Saisi d'un recours de droit public, le Tribunal fédéral n'examine que les griefs d'ordre constitutionnel invoqués et suffisamment motivés dans l'acte de recours (ATF ATF 130 I 26 consid. 2.1, 258 consid. 1.3; 129 I 113 consid. 2.1; 128 III 50 consid. 1c).</w:t>
      </w:r>
    </w:p>
    <w:p>
      <w:r>
        <w:rPr>
          <w:b/>
        </w:rPr>
        <w:t>E. 3.1</w:t>
      </w:r>
    </w:p>
    <w:p>
      <w:r>
        <w:t>Dans un premier moyen, les recourantes relèvent que la composition de la Chambre civile de la Cour de justice, saisie de leur demande, a changé au cours de l'instruction de la cause sans que les parties en aient été averties au préalable, la juge Martine Heyer ayant été remplacée par le juge Daniel Devaud. A les en croire, une telle substitution ne manquerait pas de "susciter des questions légitimes", au regard de l' art. 30 al. 1 Cst. , quant à ses motifs, ses modalités et ses conséquences.</w:t>
      </w:r>
    </w:p>
    <w:p>
      <w:r>
        <w:rPr>
          <w:b/>
        </w:rPr>
        <w:t>E. 3.2</w:t>
      </w:r>
    </w:p>
    <w:p>
      <w:r>
        <w:t>La juridiction constitutionnelle de la Confédération n'est pas là pour répondre à des questions, mais pour examiner des griefs dûment articulés. Aussi la recevabilité du premier moyen soulevé par les recourantes apparaît-elle plus que douteuse sous cet angle. Quoi qu'il en soit, ce moyen est dénué de tout fondement. Selon l' art. 30 al. 1 Cst. , toute personne dont la cause doit être jugée dans une procédure judiciaire a droit à ce que sa cause soit portée devant un tribunal établi par la loi. En droit judiciaire genevois, le président de la Cour de justice procède à la répartition des causes entre les chambres (art. 30 al. 3 de la loi sur l'organisation judiciaire du 22 novembre 1941; RS E 2 05). Par ailleurs, les juges se suppléent entre eux (art. 29 al. 2 de la même loi). Comme l'autorité cantonale le fait remarquer dans ses observations, ces deux dispositions constituent une base légale suffisante pour autoriser la modification de la composition d'une chambre saisie d'un litige, sous réserve du respect du droit d'être entendu des parties. De telles modifications sont, au demeurant, inévitables, en particulier lorsqu'un magistrat décède, atteint l'âge de la retraite ou est malade. Il n'est pas contesté que les juges ayant rendu l'arrêt attaqué sont les mêmes que ceux qui ont assisté à l'audience de plaidoiries du 21 juin 2005. Quant aux parties, elles n'ont pas sollicité de mesures probatoires dans cette affaire. Par conséquent, la modification antérieure de la composition de la Chambre civile n'a eu aucune incidence sur le déroulement de la procédure jusqu'au prononcé de l'arrêt entrepris. On ajoutera que le premier arrêt, rendu le 4 avril 2005 par cette autorité dans sa composition initiale, se bornait à trancher - de surcroît en faveur des recourantes - la question d'un second échange d'écritures, auquel les intimées s'opposaient. En tout état de cause, la partie qui se considère victime d'un vice de procédure doit l'invoquer sans tarder sous peine de forclusion. Le comportement consistant à n'invoquer un tel vice que dans le cadre du recours dirigé contre une décision - parce qu'elle se révèle en définitive défavorable -, alors que le vice aurait déjà pu être signalé en cours de procédure, constitue, en effet, une violation du principe de la bonne foi ( ATF 119 Ia 221 consid. 5a p. 228 s. et les références; 119 II 386 consid. 1a). Pour respecter ce principe, le conseil des recourantes aurait dû, à tout le moins, faire des réserves expresses au sujet de la composition de l'autorité de jugement, lorsqu'il avait plaidé devant une cour comprenant trois magistrats dont l'un ne figurait pas dans la composition initiale de ladite cour. Au lieu de quoi, il a attendu de connaître le sort de l'action au fond pour se prévaloir du vice de procédure censé affecter la décision portant rejet de cette action. Pareille attitude ne mérite aucune protection de la part du juge constitutionnel.</w:t>
      </w:r>
    </w:p>
    <w:p>
      <w:r>
        <w:rPr>
          <w:b/>
        </w:rPr>
        <w:t>E. 4</w:t>
      </w:r>
    </w:p>
    <w:p>
      <w:r>
        <w:t>Les recourantes reprochent ensuite à la cour cantonale d'avoir violé l' art. 9 Cst. en constatant les faits de manière arbitraire.</w:t>
      </w:r>
    </w:p>
    <w:p>
      <w:r>
        <w:rPr>
          <w:b/>
        </w:rPr>
        <w:t>E. 4.1</w:t>
      </w:r>
    </w:p>
    <w:p>
      <w:r>
        <w:t>Selon la jurisprudence, une décision est arbitraire lorsqu'elle est manifestement insoutenable, méconnaît gravement une norme ou un principe juridique clair et indiscuté, ou encore heurte de manière choquante le sentiment de la justice et de l'équité ( ATF 131 I 57 consid. 2 p. 61; 128 I 273 consid. 2.1 p. 275 et les arrêts cités). 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129 I 8 consid. 2.1; 127 I 38 consid. 2a p. 41; 124 I 208 consid. 4a). Il appartient au recourant de démontrer, par une argumentation précise, en quoi la décision incriminée est arbitraire ( ATF 130 I 258 consid. 1.3; 129 I 113 consid. 2.1; 125 I 71 consid. 1c p. 76).</w:t>
      </w:r>
    </w:p>
    <w:p>
      <w:r>
        <w:rPr>
          <w:b/>
        </w:rPr>
        <w:t>E. 4.2</w:t>
      </w:r>
    </w:p>
    <w:p>
      <w:r>
        <w:t>A la lecture de l'acte de recours, il apparaît nettement que les recourantes confondent le Tribunal fédéral avec une cour d'appel. Leur remarque introductive, où elles déclarent vouloir présenter les "faits qui auraient dû être constatés par la Cour de justice si celle-ci n'était pas tombée dans l'arbitraire", et l'exposé subséquent de leur propre version des faits, sans égard à ceux qui ont été retenus dans l'arrêt attaqué, ne font que renforcer cette impression. En outre, l'utilisation généralisée et immodérée du procédé de mise en évidence de certains passages du texte au moyen de caractères gras contribue à rendre encore plus opaques les assertions des recourantes. La motivation proprement dite du grief en question n'est guère plus explicite. Mélangeant les allégations de fait et les arguments de droit, elle ne permet pas d'identifier à coup sûr les constatations de fait précises de l'autorité intimée qui résulteraient d'une appréciation arbitraire des éléments de preuve figurant au dossier cantonal. Formuler un grief de cette façon revient à charger le Tribunal fédéral de tenter de découvrir, en interprétant au besoin les termes utilisés dans l'écriture de recours, quels sont, parmi les moyens présentés pêle-mêle, ceux qui pourraient relever du recours de droit public et ceux qui ressortiraient plutôt au recours en réforme. Sous cet angle aussi, l'acte de recours laisse fortement à désirer au point qu'il est légitime de mettre en doute la recevabilité du grief dans son ensemble, à l'instar des intimées. Cela étant, la Cour de céans n'examinera, ci-après, que les seuls arguments des recourantes susceptibles d'être traités comme des griefs d'arbitraire dans la constatation des faits.</w:t>
      </w:r>
    </w:p>
    <w:p>
      <w:r>
        <w:rPr>
          <w:b/>
        </w:rPr>
        <w:t>E. 4.3</w:t>
      </w:r>
    </w:p>
    <w:p>
      <w:r>
        <w:t>Un premier groupe de moyens a trait à la convention RBP du 30 janvier 2001 ainsi qu'à la convention du 14 août 2001 liant les pharmacies du groupe A.________ et les assureurs membres de V.________.</w:t>
      </w:r>
    </w:p>
    <w:p>
      <w:r>
        <w:rPr>
          <w:b/>
        </w:rPr>
        <w:t>E. 4.3.1</w:t>
      </w:r>
    </w:p>
    <w:p>
      <w:r>
        <w:t>Les recourantes reprochent, tout d'abord à la Cour de justice de s'être fondée uniquement sur la convention RBP, alors que celle-ci a été remplacée, avec effet au 1er janvier 2005, par la convention dite RBP II. Cependant, elles n'indiquent pas quand et où elles auraient allégué l'existence de cette seconde convention, ni ne précisent en quoi l'omission d'en faire état dans la décision attaquée a influé sur la solution du litige.</w:t>
      </w:r>
    </w:p>
    <w:p>
      <w:r>
        <w:rPr>
          <w:b/>
        </w:rPr>
        <w:t>E. 4.3.2</w:t>
      </w:r>
    </w:p>
    <w:p>
      <w:r>
        <w:t>La cour cantonale constate, dans son arrêt, que l'APCG a adhéré à la convention RBP. Cette constatation serait arbitraire, selon les recourantes, dès lors que, en vertu de l'art. 3 de cet accord, l'adhésion est réservée aux seuls fournisseurs de prestations visés par l' art. 37 LAMal , à l'exclusion des associations professionnelles. La "grossière erreur" commise sur ce point aurait orienté faussement les juges genevois "sur la piste de deux conventions tarifaires rivales" (terme souligné par les recourantes). Il est peu probable que ceux-ci, en posant la constatation incriminée, aient voulu indiquer que l'adhésion à la convention RBP avait été le fait de l'association précitée en tant que telle, et non de ses membres. La référence aux quelque 120 commerces actifs dans le canton de Genève, l'indication du nom de trois d'entre eux et, surtout, la remarque selon laquelle A.________ SA a refusé d'adhérer à la convention RBP tendraient plutôt à démontrer le contraire. Au demeurant, les explications peu claires fournies sur ce point par les recourantes ne permettent pas de comprendre en quoi le fait que ladite convention aurait été conclue par l'APCG plutôt que par ses membres devrait jouer un rôle décisif pour trancher les questions juridiques litigieuses. Par ailleurs, on cherche en vain, dans l'arrêt attaqué, le qualificatif "rivales", utilisé par les recourantes, ce qui prive de toute assise leur argumentation y relative.</w:t>
      </w:r>
    </w:p>
    <w:p>
      <w:r>
        <w:rPr>
          <w:b/>
        </w:rPr>
        <w:t>E. 4.3.3</w:t>
      </w:r>
    </w:p>
    <w:p>
      <w:r>
        <w:t>Dans la mesure où elles expliquent longuement pour quelles raisons la cour cantonale n'aurait pas compris le sens et la portée de la convention litigieuse, ne voyant pas qu'il s'agissait bel et bien d'une convention tarifaire tombant sous le coup de la LAMal, les recourantes ne critiquent pas une constatation de fait déterminée de l'arrêt attaqué, mais soulèvent un problème juridique. Elles méconnaissent le caractère subsidiaire du recours de droit public en argumentant ainsi ( art. 84 al. 2 OJ ). Relève également du droit le point de savoir si la question de la validité de cette convention était pertinente ou non pour trancher le différend. Aussi les recourantes le discutent-elles en pure perte dans le cadre de la présente procédure.</w:t>
      </w:r>
    </w:p>
    <w:p>
      <w:r>
        <w:rPr>
          <w:b/>
        </w:rPr>
        <w:t>E. 4.3.4</w:t>
      </w:r>
    </w:p>
    <w:p>
      <w:r>
        <w:t>La Cour de justice constate, en outre, que ladite convention a été soumise à l'OFAS, lequel a indiqué, dans une lettre du 5 mars [recte: 8 avril] 2002, pourquoi, à son avis, le Conseil fédéral n'avait pas à l'approuver. Plus loin, elle ajoute que personne, depuis lors, n'a cherché à remettre en cause cet avis. A suivre les recourantes, la mise en relation de la lettre du 8 avril 2002 et du texte de la convention suffirait à établir que celle-ci n'a jamais été soumise à l'OFAS et, partant, à infirmer la constatation inverse posée par les juges précédents. Les intimées auraient d'ailleurs fini par admettre que leur convention n'avait pas été soumise à cet Office, qui ne l'avait effectivement pas en main. Dans leur réponse au recours, les intimées contestent catégoriquement avoir admis cela. On ne peut que leur donner raison, car les éléments de preuve invoqués à la page 24 in medio de l'acte de recours à l'appui de l'affirmation contraire ne sont pas du tout propres à étayer celle-ci. En revanche, l'analyse de la susdite lettre de l'OFAS, telle qu'elle a été effectuée aux pages 23 et 24 de l'acte de recours, tendrait à démontrer que cet Office a rédigé la lettre en question sans avoir le texte de la convention sous les yeux. Il reste que l'auteur de cette lettre, où il relève avoir déjà été interpellé l'année précédente au sujet du même problème et avoir recueilli des informations relatives à l'accord en cause, était manifestement au courant, sinon de toutes les modalités de celui-ci, du moins du système mis en place par ses signataires. Comprise dans ce sens restrictif, à savoir que l'OFAS a été amené à exprimer son avis sur la licéité d'un tel système, la constatation incriminée n'apparaît donc pas insoutenable. De toute façon, comme les recourantes le relèvent elles-mêmes, semblable constatation ne portait pas sur un fait décisif pour la solution du litige, étant donné que l'OFAS n'est pas l'autorité compétente pour approuver une convention de ce genre. La cour cantonale souligne d'ailleurs, elle aussi, au considérant 4.3 in fine de son arrêt, que la question de l'approbation de la convention litigieuse "apparaît être sans rapport avec l'objet du présent débat".</w:t>
      </w:r>
    </w:p>
    <w:p>
      <w:r>
        <w:rPr>
          <w:b/>
        </w:rPr>
        <w:t>E. 4.4</w:t>
      </w:r>
    </w:p>
    <w:p>
      <w:r>
        <w:t>Le moyen suivant se rapporte aux méthodes publicitaires appliquées par les intimées.</w:t>
      </w:r>
    </w:p>
    <w:p>
      <w:r>
        <w:rPr>
          <w:b/>
        </w:rPr>
        <w:t>E. 4.4.1</w:t>
      </w:r>
    </w:p>
    <w:p>
      <w:r>
        <w:t>Selon les recourantes, à lire l'arrêt attaqué, les intimées ne se livreraient pas à une campagne publicitaire de grande envergure, mais diffuseraient - périodiquement et de manière informative - les avantages découlant de leur convention. Or, les intéressées elles-mêmes revendiquaient la paternité d'une véritable campagne publicitaire A.________ sur le plan national, massive et coûteuse, par l'utilisation de différents supports. Réduire, dès lors, cette campagne publicitaire à de simples informations envoyées périodiquement aux assurés était contraire aux pièces du dossier et à l'aveu des intimées. En réalité, la seule constatation qui s'imposait était celle d'une campagne publicitaire mercantile et tapageuse, assumée et revendiquée par ses bénéficiaires.</w:t>
      </w:r>
    </w:p>
    <w:p>
      <w:r>
        <w:rPr>
          <w:b/>
        </w:rPr>
        <w:t>E. 4.4.2</w:t>
      </w:r>
    </w:p>
    <w:p>
      <w:r>
        <w:t>En taxant de réductrices les constatations qui ont été faites par la cour cantonale au sujet des méthodes publicitaires en cause, les recourantes expriment un simple avis, lequel ne suffit manifestement pas à démontrer en quoi ces constatations seraient entachées d'arbitraire. Au demeurant, comme on peut s'en convaincre en lisant les pages 3, let. B., et 4, let. B. et C., de leur arrêt, les juges genevois ont bel et bien exposé les méthodes publicitaires utilisées par les intimées, en particulier le recours à l'outil informatique (Internet), à des bulletins périodiques et à des communiqués de presse. Peut-être ne l'ont-ils pas fait de manière aussi détaillée que ne l'auraient souhaité les recourantes. Il ne s'ensuit, toutefois, pas pour autant que leurs constatations doivent être considérées comme grossièrement lacunaires, en ce sens qu'elles ne refléteraient en rien la nature et l'ampleur de cette publicité. Dire, pour le surplus, si ces méthodes publicitaires étaient déloyales au sens de la LCD est une question de droit que les recourantes soulèvent de manière irrecevable dans ce contexte.</w:t>
      </w:r>
    </w:p>
    <w:p>
      <w:r>
        <w:rPr>
          <w:b/>
        </w:rPr>
        <w:t>E. 4.5</w:t>
      </w:r>
    </w:p>
    <w:p>
      <w:r>
        <w:t>En dernier lieu, les recourantes s'en prennent aux "constatations procédurales".</w:t>
      </w:r>
    </w:p>
    <w:p>
      <w:r>
        <w:rPr>
          <w:b/>
        </w:rPr>
        <w:t>E. 4.5.1</w:t>
      </w:r>
    </w:p>
    <w:p>
      <w:r>
        <w:t>La cour cantonale se voit tout d'abord reprocher d'avoir fait une description de la procédure sur mesures provisionnelles qui ne tiendrait pas compte des allégations des recourantes touchant la cadence de la campagne publicitaire, le nombre de personnes concernées par celle-ci et le bénéfice retiré par les intimées. Cette description incomplète aurait amené les juges genevois à nier le grief de publicité agressive ( art. 3 let . h LCD) et à omettre d'examiner le grief tiré de l' art. 3 let . f LCD (prix d'appel). La critique des recourantes tombe à faux. A la page 5, let. D., de son arrêt, la Cour de justice a relaté les étapes principales de la procédure de mesures provisionnelles et résumé ("en substance, ...") les motifs énoncés dans l'ordonnance du 9 juin 2004 ayant clos cette procédure. Elle n'avait pas à exposer tous les tenants et aboutissants de celle-ci dans son arrêt sur le fond.</w:t>
      </w:r>
    </w:p>
    <w:p>
      <w:r>
        <w:rPr>
          <w:b/>
        </w:rPr>
        <w:t>E. 4.5.2</w:t>
      </w:r>
    </w:p>
    <w:p>
      <w:r>
        <w:t>Les recourantes font encore valoir que le silence de la cour cantonale au sujet du comportement procédural des intimées, "qui prétendaient que leur convention avait été soumise à I'OFAS et qui cachaient la décision du Conseil d'Etat", ne pouvait qu'acheminer ladite cour à considérer leurs arguments comme des imputations calomnieuses, d'autant que le rappel des termes litigieux ne s'accompagnait d'aucune mention de ce à quoi ces termes se rapportaient exactement. Tel qu'il est présenté - à savoir sans qu'un lien ne soit établi entre cette critique et les explications fournies sur le même objet dans la partie "En fait" du mémoire de recours -, ce grief apparaît irrecevable, faute d'une motivation suffisante, étant précisé qu'il n'appartient pas à la juridiction constitutionnelle d'établir d'office un tel lien.</w:t>
      </w:r>
    </w:p>
    <w:p>
      <w:r>
        <w:rPr>
          <w:b/>
        </w:rPr>
        <w:t>E. 4.5.3</w:t>
      </w:r>
    </w:p>
    <w:p>
      <w:r>
        <w:t>Est de même irrecevable, faute d'une motivation suffisante, le dernier grief formulé dans ce chapitre. Les recourantes se bornent à y soutenir que la description faite par la Cour de justice du comportement des intimées devant le Pharmacien cantonal au sujet de l'utilisation de la mention «pharmacies de garde» est contredite par les pièces du dossier. En effet, selon elles, ce n'était pas un panneau qui - une fois - subsistait par hasard et par erreur avec la mention «pharmacies de garde». On ne discerne pas à quelle constatation précise de l'arrêt attaqué les recourantes font allusion, ni en quoi les pièces 26 à 26 l auxquelles elles se réfèrent sans autre explication contrediraient la constatation qu'elles ont en vue.</w:t>
      </w:r>
    </w:p>
    <w:p>
      <w:r>
        <w:rPr>
          <w:b/>
        </w:rPr>
        <w:t>E. 5</w:t>
      </w:r>
    </w:p>
    <w:p>
      <w:r>
        <w:t>Les recourantes consacrent ensuite 15 pages de leur mémoire à démontrer l'"arbitraire dans l'application du droit" et le "déni de justice matériel" qu'elles imputent à la Cour de justice.</w:t>
      </w:r>
    </w:p>
    <w:p>
      <w:r>
        <w:rPr>
          <w:b/>
        </w:rPr>
        <w:t>E. 5.1</w:t>
      </w:r>
    </w:p>
    <w:p>
      <w:r>
        <w:t>Les moyens soulevés dans cette partie de l'acte de recours se rapportent, dans leur quasi-totalité, à des questions relevant de l'application du droit fédéral. Ils sont donc irrecevables dans ce cadre procédural car ils violent le principe de la subsidiarité absolue du recours de droit public, ancré à l' art. 84 al. 2 OJ . Dans ces conditions, la Cour de céans n'examinera pas de tels moyens, lesquels sont présentés, de surcroît, sur un mode manifestement appellatoire. Il n'y a, dès lors, pas lieu de s'arrêter sur la question de savoir si les normes de droit public fédéral régissant la profession de pharmacien revêtent une certaine dimension de concurrence déloyale ou exercent une certaine influence sur le jeu de la concurrence. Quant aux normes de droit public cantonal, leur interprétation et leur application ou défaut d'application par l'autorité intimée auraient certes pu être sanctionnés par la juridiction constitutionnelle fédérale. Cependant, les brèves remarques d'ordre général que les recourantes formulent sous let. E.A de leur mémoire au sujet des dispositions topiques de la LPS et du RPLS ne satisfont en rien à l'exigence de motivation du grief d'arbitraire, si bien que le recours est irrecevable sur ce point également ( art. 90 al. 1 let. b OJ ). Sont de même frappés d'irrecevabilité, vu l' art. 84 al. 2 OJ , tous les griefs qui se rapportent, de près ou de loin, à l'application des art. 2 et 3 LCD . Relativement à certains de ces griefs, il convient de faire encore les deux remarques ci-après. Soulignant que la Cour de justice a reconnu à juste titre le caractère trompeur de la dénomination «pharmacies de garde», utilisée par les intimées, les recourantes reprochent à cette autorité de n'avoir pas fait droit à leurs conclusions en constatation de cet état de choses et en interdiction de l'usage d'une telle mention, du fait que ces conclusions seraient devenues sans objet. A supposer qu'elles entendent imputer, par là, aux premiers juges une violation du droit de procédure cantonal, force serait alors de constater que les recourantes ne mentionnent aucune disposition de la loi de procédure civile genevoise qui aurait été arbitrairement méconnue par eux. Leur grief serait donc irrecevable dans cette éventualité, faute d'être motivé, comme il l'est par ailleurs en tant qu'il se fonde sur la loi fédérale réprimant la concurrence déloyale. Au considérant 4.3 de son arrêt, la cour cantonale écrit ceci: "les demanderesses reprochent encore aux défenderesses de ne pas avoir produit l'accord qui les lient (sic)". Sous let. E.E de leur mémoire, les recourantes soutiennent qu'elles n'ont jamais rien allégué de tel. Elles s'abstiennent, toutefois, d'indiquer en quoi la constatation incriminée, dont l'autorité intimée relève qu'elle porte sur un point "sans pertinence" (ibid.), aurait une incidence sur le sort du litige. Il n'y donc pas lieu de s'y arrêter.</w:t>
      </w:r>
    </w:p>
    <w:p>
      <w:r>
        <w:rPr>
          <w:b/>
        </w:rPr>
        <w:t>E. 5.2</w:t>
      </w:r>
    </w:p>
    <w:p>
      <w:r>
        <w:t>Dans le dispositif de son arrêt, la Cour de justice a ordonné "préalablement ... la suppression des imputations calomnieuses suivantes contenues dans la réplique des demanderesses du 6 mai 2005: «astucieusement éluder les lois» et «faux intellectuel»". Elle a, en outre, condamné de ce chef les parties demanderesses à une amende de procédure de 1'000 fr. Si l'on en croit les recourantes, l'autorité intimée aurait rendu, sur ce point, une décision arbitraire à maints égards.</w:t>
      </w:r>
    </w:p>
    <w:p>
      <w:r>
        <w:rPr>
          <w:b/>
        </w:rPr>
        <w:t>E. 5.2.1.1</w:t>
      </w:r>
    </w:p>
    <w:p>
      <w:r>
        <w:t>Les recourantes reprochent, tout d'abord, à la cour cantonale d'avoir statué ultra petita en ne leur demandant pas, avant de garder la cause à juger, de lui soumettre une nouvelle réplique ne contenant pas les passages prétendument calomnieux. A leur avis, comme les intimées ne requéraient la suppression de ces passages que préalablement au fond, les juges genevois ne pouvaient pas faire figurer l'ordre de suppression dans leur arrêt sur le fond. En tant qu'il se rapporte à une procédure conduite devant une juridiction cantonale, le principe ne eat iudex ultra petita partium relève du droit cantonal ( ATF 111 II 358 consid. 1 p. 360 et les arrêts cités). Il n'est d'ailleurs pas interdit au législateur cantonal de poser une règle contraire autorisant la juridiction cantonale à statuer ultra petita (Jean-François Poudret, COJ, n. 2.2 ad art. 63, p. 515). Aussi appartenait-il aux recourantes d'indiquer la disposition de la loi de procédure civile genevoise qui consacrerait ledit principe. Elles s'en sont abstenues, de sorte que leur grief est irrecevable ( art. 90 al. 1 let. b OJ ). En tout état de cause, à supposer que le caractère calomnieux des imputations litigieuses ait été constaté de manière soutenable par la cour cantonale, on discerne mal en quoi les recourantes seraient lésées par le fait que l'ordre de suppression desdites imputations a été donné dans le jugement au fond et non plus tôt. A cet égard, les recourantes ne prétendent pas que cet ordre devrait être compris en ce sens qu'elles seraient tenues de déposer une nouvelle réplique, expurgée, nonobstant la notification, déjà intervenue, de l'arrêt contenant l'ordre en question. Le mode de procéder de la cour cantonale leur a d'ailleurs permis d'économiser les frais liés au dépôt d'une seconde réplique.</w:t>
      </w:r>
    </w:p>
    <w:p>
      <w:r>
        <w:rPr>
          <w:b/>
        </w:rPr>
        <w:t>E. 5.2.1.2</w:t>
      </w:r>
    </w:p>
    <w:p>
      <w:r>
        <w:t>La Cour de justice se voit encore reprocher d'avoir statué extra petita en retenant que les passages incriminés portaient atteinte à l'honneur, non des intimées, mais à celui de leur avocat, lequel n'avait pourtant pas requis en son nom et pour son honneur la suppression de ces mêmes passages. Sur ce point aussi, le présent recours est irrecevable, faute pour ses auteurs d'avoir indiqué la disposition du droit de procédure genevois interdisant au juge de statuer extra petita. L'art. 43 de la loi de procédure civile genevoise du 10 avril 1987 (LPC gen.; RS E 3 05), invoqué par les recourantes dans ce contexte, n'a rien à voir avec la règle ne eat iudex extra petita partium.</w:t>
      </w:r>
    </w:p>
    <w:p>
      <w:r>
        <w:rPr>
          <w:b/>
        </w:rPr>
        <w:t>E. 5.2.2</w:t>
      </w:r>
    </w:p>
    <w:p>
      <w:r>
        <w:t>Sur le fond, les recourantes font grief à la Cour de justice d'avoir admis de manière arbitraire que les imputations incriminées étaient calomnieuses, alors que le dossier établirait la réalité du «faux intellectuel» imputé à l'avocat des intimées et le fait que celles-ci ont effectivement «astucieusement éludé la loi». Tentant en quelque sorte d'apporter la preuve de la vérité de leurs affirmations, les recourantes s'emploient à démontrer, dans de longues explications de type appellatoire, que le conseil des intimées a adopté un comportement procédural équivalant effectivement à un "faux intellectuel" et qu'elles-mêmes ont utilisé l'expression «astucieusement éluder la loi» - et non pas «les lois» - pour fustiger le comportement des intimées en rapport avec la convention du 14 août 2001, et non celui de leur avocat. Force est de constater que les recourantes s'abstiennent, ici aussi, d'indiquer quelle est la disposition du droit de procédure civile genevois réglant le problème litigieux, quelles en sont les conditions d'application et pourquoi il était insoutenable de tenir ces conditions pour réalisées dans la présente espèce. Le moyen soulevé par elles est, en conséquence, irrecevable (cf. art. 90 al. 1 let. b OJ ).</w:t>
      </w:r>
    </w:p>
    <w:p>
      <w:r>
        <w:rPr>
          <w:b/>
        </w:rPr>
        <w:t>E. 5.2.3.1</w:t>
      </w:r>
    </w:p>
    <w:p>
      <w:r>
        <w:t>Les recourantes contestent enfin les modalités de la sanction qui leur a été infligée. Selon elles, la Cour de justice, sauf à violer la jurisprudence fédérale en la matière, ne pouvait leur infliger une amende d'un montant global de 1'000 fr. et instituer, ce faisant, une solidarité déguisée entre les quatre débitrices de ce montant. Elle aurait dû, au contraire, prononcer une sanction individualisée pour chacune des recourantes. Quant au montant de l'amende, celles-ci soutiennent qu'il ne pouvait être déterminé en fonction des paroles prononcées en plaidoirie par leur avocat.</w:t>
      </w:r>
    </w:p>
    <w:p>
      <w:r>
        <w:rPr>
          <w:b/>
        </w:rPr>
        <w:t>E. 5.2.3.2</w:t>
      </w:r>
    </w:p>
    <w:p>
      <w:r>
        <w:t>Il est vrai que, selon la jurisprudence invoquée par les recourantes, les contraventions de procédure ont un caractère pénal, de sorte que, sauf disposition contraire du droit cantonal, les règles générales et particulières du code pénal s'appliquent en cette matière. La solidarité est donc étrangère au principe de l'individualisation de la peine qui gouverne toute sanction pénale et, singulièrement, l'amende (arrêt 4P.38/2005 du 3 mai 2005, consid. 3.3.2). Cependant, quoi qu'en disent les recourantes, le chef du dispositif de la décision attaquée relatif à l'amende peut sans nul doute être interprété dans le sens d'une condamnation non solidaire des recourantes au paiement du montant qui y figure. Aussi bien, les termes "solidaire" ou "solidairement" n'y apparaissent pas. Dès lors, pour que le principe établi par la jurisprudence précitée soit respecté, il suffira que l'autorité d'exécution ne réclame que la somme de 250 fr. à chacune des quatre recourantes. Pour le surplus, dans la mesure où il n'est nullement démontré que chacune de ces parties aurait joué un rôle spécifique dans la commission de la contravention de procédure sanctionnée par l'amende litigieuse, il n'apparaît pas que la cour cantonale soit tombée dans l'arbitraire en n'individualisant pas plus avant la peine prononcée. Enfin, les recourantes ne disent pas pour quelle raison la Cour de justice ne pouvait pas fixer le montant de l'amende en tenant compte des paroles prononcées par leur mandataire lors de sa plaidoirie. Le seul fait de l'affirmer ne suffit pas à faire de cette allégation un grief en bonne et due forme (cf. art. 90 al. 1 let. b OJ ).</w:t>
      </w:r>
    </w:p>
    <w:p>
      <w:r>
        <w:rPr>
          <w:b/>
        </w:rPr>
        <w:t>E. 6.1</w:t>
      </w:r>
    </w:p>
    <w:p>
      <w:r>
        <w:t>Dans un dernier groupe de moyens, les recourantes soutiennent que le résultat auquel ont abouti les juges genevois heurte le sentiment de la justice et de l'équité, étant donné que la décision entreprise consacre une violation du droit d'être entendu, de la primauté du droit cantonal (sic), du principe de l'égalité devant la loi, de la garantie de la liberté économique et de la liberté de parole de l'avocat.</w:t>
      </w:r>
    </w:p>
    <w:p>
      <w:r>
        <w:rPr>
          <w:b/>
        </w:rPr>
        <w:t>E. 6.2</w:t>
      </w:r>
    </w:p>
    <w:p>
      <w:r>
        <w:t>La formulation de ce dernier groupe de moyens est pour le moins curieuse. En effet, les recourantes y rattachent les diverses violations des libertés fondamentales et autres principes qu'elles énumèrent à l'un des éléments constitutifs de la notion d'arbitraire, à savoir le fait que la décision attaquée heurte de manière choquante le sentiment de la justice et de l'équité. Cette singularité mise à part, les moyens en question sont irrecevables pour différentes raisons. Premièrement, les libertés fondamentales et les principes constitutionnels invoqués ne produisent pas d'effet horizontal direct (direkte Dritt- oder Horizontalwirkung; sur cette notion, cf. ATF 111 II 254 et les références; voir aussi: Ulrich Häfelin/Walter Haller, Schweizerisches Bundesstaatsrecht, 6e éd., p. 87 ss, nos 278 ss) dans les rapports entre personnes privées. Il s'ensuit que les recourantes n'ont pas qualité pour s'en prévaloir directement en l'espèce à l'appui d'un recours de droit public dirigé contre une décision rendue dans une affaire qui intéresse les rapports de concurrence entre des personnes morales de droit privé agissant sur un pied d'égalité. Pour le reste, dans la mesure où elles soutiennent que la manière dont la cour cantonale a appliqué les normes du droit privé sanctionnant la concurrence déloyale n'est pas compatible avec les droits constitutionnels en cause, les recourantes oublient que semblables moyens, tirés de l'effet civil indirect des droits fondamentaux ou du principe dit de l'interprétation conforme, peuvent être soulevés dans le cadre d'un recours en réforme lorsque, comme c'est ici le cas, la valeur litigieuse atteint au moins 8'000 fr. ( ATF 114 Ia 329 consid. 2b; voir aussi, p. ex., l'arrêt 4C.422/2004 du 13 septembre 2005, destiné à la publication, consid. 4.4.1 et les références). Leur recours de droit public est, partant, irrecevable à cet égard, étant donné le caractère subsidiaire de cette voie de droit ( art. 84 al. 2 OJ ). Est irrecevable, pour la même raison, le moyen par lequel les recourantes reprochent à la Cour de justice d'avoir mal appliqué le principe de la force dérogatoire du droit fédéral ( ATF 122 I 351 consid. 1c p. 353 et les arrêts cités). Quant aux affirmations des recourantes, selon lesquelles la cour cantonale n'aurait pas examiné la cause sous tel ou tel angle, vidant le litige de tout son objet et n'apportant aucune réponse au Pharmacien cantonal, elles sont tout à fait impropres à établir le déni de justice formel invoqué par elles. L'arrêt attaqué contient, en effet, des motifs suffisamment détaillés pour que les intéressées aient pu le critiquer en connaissance de cause. Enfin, les considérations générales émises par les recourantes au sujet de la liberté de parole de l'avocat ne suffisent pas à étayer le grief de violation du droit d'être entendu qu'elles formulent à la fin de leur acte de recours.</w:t>
      </w:r>
    </w:p>
    <w:p>
      <w:r>
        <w:rPr>
          <w:b/>
        </w:rPr>
        <w:t>E. 7</w:t>
      </w:r>
    </w:p>
    <w:p>
      <w:r>
        <w:t>Au terme de cet examen, il y a lieu de rejeter le recours sur les points où il est recevable. Cela étant, les recourantes, qui succombent, seront condamnées solidairement à payer l'émolument judiciaire afférent à la procédure fédérale et à indemniser leurs parties adverses ( art. 156 al. 1 et 7 OJ , art. 159 al. 1 et 5 OJ ).</w:t>
      </w:r>
    </w:p>
    <w:p>
      <w:r>
        <w:rPr>
          <w:b/>
        </w:rPr>
        <w:t>E. 8</w:t>
      </w:r>
    </w:p>
    <w:p>
      <w:r>
        <w:t>Une partie n'a pas le droit d'exiger que des sanctions disciplinaires au sens de l' art. 31 OJ soient prises à l'encontre de son adversaire, même si rien ne l'empêche d'attirer l'attention du tribunal sur des procédés téméraires (arrêt 4C.236/1995 du 4 décembre 1995, consid. 3). Par conséquent, la conclusion des intimées tendant à la condamnation des recourantes et de leur conseil à une sanction disciplinaire est irrecevable en tant que telle. Au surplus, le comportement fustigé n'apparaît pas procéder d'un manquement si grave aux règles de la bonne foi qu'il justifierait d'être sanctionné disciplinairement. Il visait, avant tout, à démontrer en quoi la sanction disciplinaire infligée par la Cour de justice aux recourantes était arbitraire. Que cette démonstration ait échoué ne signifie pas qu'elle ait été tentée de mauvaise foi.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