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4P.283/2004 vom 12. April 2005</w:t>
      </w:r>
    </w:p>
    <w:p>
      <w:r>
        <w:t>Bundesgericht, 2005-04-12, FR</w:t>
      </w:r>
    </w:p>
    <w:p>
      <w:r>
        <w:rPr>
          <w:b/>
        </w:rPr>
        <w:t xml:space="preserve">Quelle: </w:t>
      </w:r>
      <w:r>
        <w:t>https://mcp.opencaselaw.ch/entscheid/bger_4P.283_2004</w:t>
      </w:r>
    </w:p>
    <w:p>
      <w:r>
        <w:t>FR: TF 4P.283/2004 du 12 avril 2005</w:t>
      </w:r>
    </w:p>
    <w:p>
      <w:r>
        <w:t>IT: TF 4P.283/2004 del 12 aprile 2005</w:t>
      </w:r>
    </w:p>
    <w:p>
      <w:pPr>
        <w:pStyle w:val="Heading2"/>
      </w:pPr>
      <w:r>
        <w:t>Erwägungen</w:t>
      </w:r>
    </w:p>
    <w:p>
      <w:r>
        <w:rPr>
          <w:b/>
        </w:rPr>
        <w:t>E. 1</w:t>
      </w:r>
    </w:p>
    <w:p>
      <w:r>
        <w:t>Le Tribunal fédéral examine d'office et librement la recevabilité de recours qui lui sont soumis ( ATF 130 I 312 consid. 1; 130 II 65 consid. 1, 509 consid. 8.1).</w:t>
      </w:r>
    </w:p>
    <w:p>
      <w:r>
        <w:rPr>
          <w:b/>
        </w:rPr>
        <w:t>E. 1.1</w:t>
      </w:r>
    </w:p>
    <w:p>
      <w:r>
        <w:t>Selon la jurisprudence, le traitement des malades dans les hôpitaux publics ne se rattache pas à l'exercice d'une industrie ( ATF 122 III 101 consid. 2a/aa; plus récemment arrêt 4C.229/2000 du 27 novembre 2001, publié in SJ 2002 I p. 253, consid. 2a). En vertu de l' art. 61 CO , les cantons sont donc autorisés à soumettre la responsabilité des médecins engagés dans un hôpital public, pour le dommage ou le tort moral qu'ils causent dans l'exercice de leur charge, au droit public cantonal ( ATF 122 III 101 consid. 2a/bb p. 104 s.; plus récemment arrêt 4C.229/2000 du 27 novembre 2001, publié in SJ 2002 I p. 253, consid. 2a).</w:t>
      </w:r>
    </w:p>
    <w:p>
      <w:r>
        <w:t>Dès lors que le canton de Neuchâtel a valablement fait usage de la faculté offerte par l' art. 61 al. 1 CO en adoptant la loi neuchâteloise sur la responsabilité des collectivités publiques et de leurs agents du 26 juin 1989 (ci-après: LResp), la prétention en responsabilité est régie exclusivement par le droit public cantonal. En conséquence, la voie du recours en réforme est fermée et le Tribunal fédéral ne peut être saisi que par le dépôt d'un recours de droit public (cf. ATF 128 III 76 consid. 1a p. 79).</w:t>
      </w:r>
    </w:p>
    <w:p>
      <w:r>
        <w:rPr>
          <w:b/>
        </w:rPr>
        <w:t>E. 1.2</w:t>
      </w:r>
    </w:p>
    <w:p>
      <w:r>
        <w:t>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w:t>
      </w:r>
    </w:p>
    <w:p>
      <w:r>
        <w:t>La recourante est personnellement touchée par la décision entreprise, qui rejette sa demande, de sorte qu'elle a un intérêt personnel, actuel et juridiquement protégé à ce que cette décision n'ait pas été adoptée en violation de ses droits constitutionnels; en conséquence, la qualité pour recourir doit lui être reconnue ( art. 88 OJ ).</w:t>
      </w:r>
    </w:p>
    <w:p>
      <w:r>
        <w:t>Le recours ayant par ailleurs été interjeté en temps utile ( art. 32 et 89 al. 1 OJ ; art. 1 de la loi fédérale du 21 juin 1963 sur la supputation des délais comprenant un samedi) - à l'exclusion toutefois de la lettre que la recourante a personnellement adressée au Tribunal de céans environ un mois après l'échéance du délai de recours et dont il ne sera par conséquent pas tenu compte - et dans la forme prévue par la loi ( art. 90 al. 1 OJ ), il convient d'entrer en matière.</w:t>
      </w:r>
    </w:p>
    <w:p>
      <w:r>
        <w:rPr>
          <w:b/>
        </w:rPr>
        <w:t>E. 1.3</w:t>
      </w:r>
    </w:p>
    <w:p>
      <w:r>
        <w:t>Saisi d'un recours de droit public, le Tribunal fédéral n'examine que les griefs d'ordre constitutionnel invoqués et suffisamment motivés dans l'acte de recours ( art. 90 al. 1 let. b OJ ; ATF 130 I 258 consid. 1.3 p. 262; 129 I 113 consid. 2.1).</w:t>
      </w:r>
    </w:p>
    <w:p>
      <w:r>
        <w:rPr>
          <w:b/>
        </w:rPr>
        <w:t>E. 2</w:t>
      </w:r>
    </w:p>
    <w:p>
      <w:r>
        <w:t>Invoquant les art. 29 al. 2 Cst. et 6 CEDH, la recourante reproche à la cour cantonale d'avoir violé son droit d'être entendu. En substance, elle considère qu'en refusant les mesures d'instructions qu'elle avait sollicitées, les juges cantonaux ont rendu impossible l'exercice de son droit à la preuve, en procédant à une appréciation anticipée des preuves.</w:t>
      </w:r>
    </w:p>
    <w:p>
      <w:r>
        <w:rPr>
          <w:b/>
        </w:rPr>
        <w:t>E. 2.1</w:t>
      </w:r>
    </w:p>
    <w:p>
      <w:r>
        <w:t>Vu la nature formelle de cette garantie constitutionnelle, dont la violation entraîne l'annulation de la décision attaquée indépendamment des chances de succès du recours sur le fond ( ATF 127 V 431 consid. 3d/aa p. 437), ce moyen doit être examiné en priorité ( ATF 124 I 49 consid. 1).</w:t>
      </w:r>
    </w:p>
    <w:p>
      <w:r>
        <w:rPr>
          <w:b/>
        </w:rPr>
        <w:t>E. 2.2</w:t>
      </w:r>
    </w:p>
    <w:p>
      <w:r>
        <w:t>La recourante se fonde sur les garanties offertes par la Constitution fédérale et la CEDH, sans se prévaloir de la violation d'une règle de droit cantonal de procédure qui lui offrirait une protection supérieure. C'est donc exclusivement à la lumière de l' art. 29 al. 2 Cst. et de l' art. 6 CEDH que son grief sera examiné ( ATF 126 I 15 consid. 2a et les arrêts cités).</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130 II 425 consid. 2.1 p. 429; 125 I 127 consid. 6c/cc in fine p. 135).</w:t>
      </w:r>
    </w:p>
    <w:p>
      <w:r>
        <w:rPr>
          <w:b/>
        </w:rPr>
        <w:t>E. 2.3</w:t>
      </w:r>
    </w:p>
    <w:p>
      <w:r>
        <w:t>A l'appui de son refus de donner suite aux requêtes de la recourante, la cour cantonale a considéré que les éléments de preuve au dossier s'étaient révélés suffisants pour lui permettre de trancher la cause, qu'elle ne voyait au demeurant aucun indice concret lui permettant d'envisager que son appréciation pourrait être modifiée par des témoignages, une nouvelle expertise médicale ou l'administration d'autres preuves encore.</w:t>
      </w:r>
    </w:p>
    <w:p>
      <w:r>
        <w:t>L'on ne voit pas en quoi l'appréciation anticipée des preuves à laquelle la cour cantonale s'est ainsi livrée serait arbitraire et l'on ne décèle aucune violation du droit d'être entendu de la recourante. Celle-ci a eu tout loisir de s'exprimer au cours de la procédure. Elle a notamment requis et obtenu un complément d'expertise, de sorte qu'elle est malvenue de soutenir que les juges cantonaux ne lui ont pas permis d'interroger l'expert sur la question du lien de causalité entre l'attente durant trois mois et l'hystérectomie. Pour le surplus, dans la mesure où la recourante expose n'être pas convaincue par les conclusions de l'expert lorsque celui-ci affirme que l'opération du 16 juin 1999 portait sur une masse liée à l'utérus, en ajoutant qu'elle avait mis en évidence des divergences significatives entre divers documents produits à la procédure, elle tente vainement de substituer sa propre version des faits à celle retenue par la cour cantonale. En définitive, le grief de la recourante ne peut qu'être rejeté.</w:t>
      </w:r>
    </w:p>
    <w:p>
      <w:r>
        <w:rPr>
          <w:b/>
        </w:rPr>
        <w:t>E. 3</w:t>
      </w:r>
    </w:p>
    <w:p>
      <w:r>
        <w:t>La recourante invoque également la protection contre l'arbitraire garantie par l' art. 9 Cst. En substance, elle s'en prend à la manière dont la cour cantonale a apprécié l'expertise judiciaire pour aboutir à la conclusion que, même si l'opération avait été décidée en mars 1999, cela n'aurait finalement pas permis d'éviter l'hystérectomie qu'elle a subie.</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127 I 38 consid. 2a p. 41).</w:t>
      </w:r>
    </w:p>
    <w:p>
      <w:r>
        <w:t>Concernant plus particulièrement l'appréciation du résultat d'une expertise, lorsque l'autorité cantonale juge celle-ci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w:t>
      </w:r>
    </w:p>
    <w:p>
      <w:r>
        <w:rPr>
          <w:b/>
        </w:rPr>
        <w:t>E. 3.2</w:t>
      </w:r>
    </w:p>
    <w:p>
      <w:r>
        <w:t>En l'espèce, la cour cantonale a relevé que l'expert judiciaire avait indiqué qu'il n'était pas possible de répondre avec une absolue certitude à la question de savoir si l'hystérectomie incriminée aurait pu être évitée dans l'hypothèse où l'ablation de la masse pelvienne en question n'aurait pas été retardée. L'expert avait toutefois précisé: "Néanmoins, l'aspect de la tumeur, visualisable sur la photographie prise lors de la laparoscopie, les dimensions de la masse décrite le 4 mars 1999, la nécessité - en l'absence de diagnostic excluant toute malignité - de l'extirper en bloc, c'est-à-dire en évitant toute fragmentation - et la situation profonde de la lésion dans une zone anatomiquement occupée par de nombreux autres organes ou vaisseaux à préserver et à ne pas léser sont autant d'éléments qui conduisent à penser que l'hystérectomie aurait également été incontournable 3 mois avant le 3 juin 1999 et que l'avancement de la date d'opération n'aurait pas permis de préserver plus d'organes". En outre, dans son complément d'expertise, l'expert avait ajouté: "La position de l'expert ne se fonde pas sur les impressions indirectes et les conclusions formulées de façon partiellement erronée fournies sur la base de l'imagerie mais sur les constatations faites dans le champ opératoire et sur le fait que cette lésion volumineuse et située profondément dans le petit bassin aurait très vraisemblablement requis une hystérectomie, pour des raisons de technique opératoire, si l'intervention avait été faite sans attendre". Ces déductions étaient cohérentes et bien étayées. Elles n'étaient au demeurant battues en brèche par aucun élément concret du dossier. Il convenait donc de retenir qu'il était plus vraisemblable que l'hystérectomie en cause aurait dû être pratiquée même en cas d'intervention effectuée à fin février ou début mars 1999. Par conséquent, il fallait nier l'existence de tout lien de causalité entre les options choisies par les Dr B.________ et C.________ et le dommage allégué par la recourante.</w:t>
      </w:r>
    </w:p>
    <w:p>
      <w:r>
        <w:t>La recourante critique le raisonnement - "manifestement complaisant à l'égard des médecins mis en cause" - de l'expert, repris tel quel par la cour cantonale. Elle estime en particulier que "lorsqu'il s'agit d'attendre, l'expert considère que la tumeur pouvait être qualifiée de bénigne et lors qu'il (sic) s'agit d'imaginer quelle aurait été l'ampleur d'une intervention pratiquée en mars 1999, le même expert considère que la malignité de la tumeur aurait dû être retenu (sic)". En définitive, elle est d'avis qu'il est manifestement insoutenable, choquant et, dès lors, arbitraire, de venir affirmer que l'augmentation significative de la tumeur n'a pas impliqué une opération plus invasive.</w:t>
      </w:r>
    </w:p>
    <w:p>
      <w:r>
        <w:t>L'argumentation de la recourante est dénuée de pertinence. En présence d'un rapport d'expertise complet et précis, les juges cantonaux étaient fondés à se rallier aux conclusions de l'auteur de celui-ci pour parvenir, sans arbitraire, à la conclusion que tout lien de causalité faisait défaut en l'espèce. Par conséquent, le moyen de la recourante doit être rejeté.</w:t>
      </w:r>
    </w:p>
    <w:p>
      <w:r>
        <w:rPr>
          <w:b/>
        </w:rPr>
        <w:t>E. 4</w:t>
      </w:r>
    </w:p>
    <w:p>
      <w:r>
        <w:t>La recourante se plaint enfin d'une violation de l' art. 10 al. 2 Cst. Elle soutient que la cour cantonale aurait dû, préalablement, constater que la décision des médecins d'attendre trois mois en mars 1999 constituait une violation de sa liberté personnelle, en l'absence d'une information et, par conséquent, en l'absence de consentement de sa part.</w:t>
      </w:r>
    </w:p>
    <w:p>
      <w:r>
        <w:rPr>
          <w:b/>
        </w:rPr>
        <w:t>E. 4.1</w:t>
      </w:r>
    </w:p>
    <w:p>
      <w:r>
        <w:t>L'art.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 12 LResp. La responsabilité de la collectivité publique est donc engagée lorsque les trois conditions de l'existence d'un acte illicite, d'un dommage et d'un rapport de causalité adéquate entre ces derniers sont réalisées. Comme l'art. 3 LResp renvoie aux dispositions du droit privé fédéral, applicables à titre de droit cantonal supplétif, il convient de se référer aux principes régissant la responsabilité civile dans la jurisprudence fédérale (arrêt 4P.110/2003 du 26 août 2003, consid. 2.1 et les références citées). Selon l'art. 6 LResp, aux conditions prévues par le droit des obligations en matière d'actes illicites, une indemnité équitable peut en outre être allouée, en cas de faute de l'agent, à titre de réparation morale.</w:t>
      </w:r>
    </w:p>
    <w:p>
      <w:r>
        <w:rPr>
          <w:b/>
        </w:rPr>
        <w:t>E. 4.2</w:t>
      </w:r>
    </w:p>
    <w:p>
      <w:r>
        <w:t>L'argumentation de la recourante relative à un éventuel défaut de consentement - en tant que fait justificatif d'un prétendu acte illicite (sur ces questions, cf. arrêt 4P.265/2002 du 28 avril 2003, publié in RDAF 2003 I p. 635, consid. 4 et 5 et les références citées) - est vaine puisque, dans la présente espèce, la cour cantonale a considéré que l'une des autres conditions cumulatives de la responsabilité - en l'occurrence le rapport de causalité - faisait défaut, ce que la recourante n'a pas contesté avec succès. Ainsi, le moyen de celle-ci ne peut qu'être rejeté.</w:t>
      </w:r>
    </w:p>
    <w:p>
      <w:r>
        <w:rPr>
          <w:b/>
        </w:rPr>
        <w:t>E. 5</w:t>
      </w:r>
    </w:p>
    <w:p>
      <w:r>
        <w:t>Compte tenu de l'issue du recours, les frais seront mis à la charge de la recourante ( art. 156 al. 1 OJ ).</w:t>
      </w:r>
    </w:p>
    <w:p>
      <w:r>
        <w:t>Il ne sera pas alloué de dépens à l'intimée - qui n'en a à juste titre pas requis - puisqu'en sa qualité de corporation de droit public bénéficiant d'une infrastructure administrative et juridique importante, celle-ci n'a pas droit à être indemnisée pour ses frais de procès ( art. 159 al. 2 OJ ; cf. ATF 129 II 353 consid. 7.2. non publié; Poudret, Commentaire de la loi fédérale d'organisation judiciaire du 16 décembre 1943, vol. V, n. 3 ad art. 159, p. 161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