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4P.282/2006 vom 15. März 2007</w:t>
      </w:r>
    </w:p>
    <w:p>
      <w:r>
        <w:t>Bundesgericht, 2007-03-15, FR</w:t>
      </w:r>
    </w:p>
    <w:p>
      <w:r>
        <w:rPr>
          <w:b/>
        </w:rPr>
        <w:t xml:space="preserve">Quelle: </w:t>
      </w:r>
      <w:r>
        <w:t>https://mcp.opencaselaw.ch/entscheid/bger_4P.282_2006</w:t>
      </w:r>
    </w:p>
    <w:p>
      <w:r>
        <w:t>FR: TF 4P.282/2006 du 15 mars 2007</w:t>
      </w:r>
    </w:p>
    <w:p>
      <w:r>
        <w:t>IT: TF 4P.282/2006 del 15 marzo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Conformément à la règle générale de l' art. 57 al. 5 OJ , il y a lieu de statuer d'abord sur le recours de droit public.</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a rejeté ses conclusions libératoires, de sorte qu'elle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1.4</w:t>
      </w:r>
    </w:p>
    <w:p>
      <w:r>
        <w:t>Sous réserve d'exceptions non réalisées en l'espèce, le recours de droit public n'est qu'une voie de cassation et ne peut tendre qu'à l'annulation de la décision attaquée ( ATF 132 III 291 consid. 1.5; 131 I 291 consid. 1.4). Dans la mesure où les intimés, comme en l'espèce, proposent autre chose que l'irrecevabilité du recours ou son rejet, leurs conclusions sont donc irrecevables.</w:t>
      </w:r>
    </w:p>
    <w:p>
      <w:r>
        <w:rPr>
          <w:b/>
        </w:rPr>
        <w:t>E. 2</w:t>
      </w:r>
    </w:p>
    <w:p>
      <w:r>
        <w:t>La recourante prétend que la cour cantonale, sous deux angles différents, a violé son droit d'être entendue au sens de l' art. 29 al. 2 Cst.</w:t>
      </w:r>
    </w:p>
    <w:p>
      <w:r>
        <w:rPr>
          <w:b/>
        </w:rPr>
        <w:t>E. 2.1</w:t>
      </w:r>
    </w:p>
    <w:p>
      <w:r>
        <w:t>La recourante fait liminairement grief à la Cour de justice de ne pas l'avoir invitée à s'exprimer et à participer à la preuve "au sujet de son intention d'appliquer l' art. 163 al. 2 CO " (recte: art. 163 al. 3 CO ). Les intimés n'auraient pas abordé la problématique de la quotité de la peine conventionnelle dans leurs écritures, pas plus que lors de l'audience de plaidoiries du 28 avril 2006. La défenderesse en déduit que dès l'instant où il n'avait jamais été question auparavant de la norme en cause, dont la prise en compte ne pouvait être raisonnablement prévue, l'autorité intimée se devait préalablement d'entendre les plaideurs avant de considérer la peine stipulée comme excessive et de la réduire en équité.</w:t>
      </w:r>
    </w:p>
    <w:p>
      <w:r>
        <w:rPr>
          <w:b/>
        </w:rPr>
        <w:t>E. 2.1.1</w:t>
      </w:r>
    </w:p>
    <w:p>
      <w:r>
        <w:t>Le droit d'être entendu garanti par l' art. 29 al. 2 Cst. comprend notamment le droit pour l'intéressé de s'exprimer sur les éléments pertinents avant qu'une décision ne soit prise concernant sa situation juridique, de produire des preuves pertinentes, d'obtenir qu'il soit donné suite à ses offres de preuve de cette nature, de participer à l'administration des preuves essentielles ou, à tout le moins, de s'exprimer sur son résultat, lorsque cela est de nature à influer sur la décision à rendre ( ATF 129 II 497 consid. 2.2 p. 505; 127 III 576 consid. 2c p. 578). Le droit d'être entendu porte avant tout sur les questions de fait, en sorte qu'une partie n'a en principe pas le droit de se prononcer sur l'appréciation juridique des faits ni, plus généralement, sur l'argumentation juridique à retenir. Cependant, un tel droit doit être reconnu lorsque l'autorité envisage de fonder sa décision sur une norme ou un motif juridique non évoqué dans la procédure antérieure et dont aucune des parties en présence ne s'est prévalue et ne pouvait supputer la pertinence in casu ( ATF 129 II 497 consid. 2.2 p. 505; 127 V 431 consid. 2b).</w:t>
      </w:r>
    </w:p>
    <w:p>
      <w:r>
        <w:rPr>
          <w:b/>
        </w:rPr>
        <w:t>E. 2.1.2</w:t>
      </w:r>
    </w:p>
    <w:p>
      <w:r>
        <w:t>Dans l'arrêt du 13 février 2006 par lequel il a retourné la cause à l'autorité cantonale pour qu'elle prenne une nouvelle décision au sens des considérants ( ATF 132 III 226 ), le Tribunal fédéral a clairement exposé, au considérant 4.1 in fine de son arrêt, qu'il incombait en particulier aux magistrats genevois de contrôler, sous l'angle de la clause pénale ( art. 162 CO ), le droit du créancier (i.e X.________) à conserver les versements partiels en cas de résiliation du contrat de vente, puis de vérifier si la clause pénale convenue était excessive au sens de l' art. 163 al. 3 CO .</w:t>
      </w:r>
    </w:p>
    <w:p>
      <w:r>
        <w:t>La Cour de justice s'est conformée à ces instructions en procédant, au considérant 5 de l'arrêt déféré, à l'examen requis par la juridiction fédérale.</w:t>
      </w:r>
    </w:p>
    <w:p>
      <w:r>
        <w:t>La recourante ne peut donc sérieusement prétendre avoir été surprise par l'examen d'un argument juridique inédit, puisqu'elle savait, sitôt qu'elle avait pris connaissance des motifs de l' ATF 132 III 226 , que le problème de la réduction de la peine conventionnelle excessive, lequel découlait d'une règle impérative qui lui avait été dûment indiquée (i.e. art. 163 al. 3 CO ), devait désormais être évoqué par la cour cantonale. Cette juridiction, lorsqu'elle a réinscrit la cause au rôle, a du reste donné l'occasion notamment à la recourante de se déterminer par écrit, mais celle-ci y a renoncé, préférant s'exprimer oralement au cours d'une audience de plaidoiries.</w:t>
      </w:r>
    </w:p>
    <w:p>
      <w:r>
        <w:t>On ne voit donc pas que la solution retenue par l'autorité cantonale fût de quelconque façon inédite au point de nécessiter une interpellation spécifique des parties pour empêcher une violation de leur droit d'être entendue.</w:t>
      </w:r>
    </w:p>
    <w:p>
      <w:r>
        <w:rPr>
          <w:b/>
        </w:rPr>
        <w:t>E. 2.2</w:t>
      </w:r>
    </w:p>
    <w:p>
      <w:r>
        <w:t>A suivre la recourante, la Cour de justice a violé son droit d'être entendue en ne motivant pas conformément aux exigences constitutionnelles sa décision de réduire massivement la peine conventionnelle. L'explication présentée à ce titre par les juges cantonaux, tout à la fois incompréhensible et insuffisante, ne permettrait pas de saisir le "gigantisme" de la réduction retenue, laquelle porte une atteinte gravissime à la liberté contractuelle des parties.</w:t>
      </w:r>
    </w:p>
    <w:p>
      <w:r>
        <w:rPr>
          <w:b/>
        </w:rPr>
        <w:t>E. 2.2.1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cependant pas tenu d'exposer et de discuter tous les faits, moyens de preuve et griefs invoqués par les parties. Il n'y a violation du droit d'être entendu que si l'autorité ne satisfait pas à son devoir minimum d'examiner et de traiter les problèmes pertinents ( ATF 130 II 530 consid. 4.3 p. 540; 129 I 232 consid. 3.2 p. 236; 129 II 497 consid. 2.2 p. 505).</w:t>
      </w:r>
    </w:p>
    <w:p>
      <w:r>
        <w:rPr>
          <w:b/>
        </w:rPr>
        <w:t>E. 2.2.2</w:t>
      </w:r>
    </w:p>
    <w:p>
      <w:r>
        <w:t>Quoi qu'en pense la recourante, l'arrêt attaqué satisfait à l'évidence à ces exigences.</w:t>
      </w:r>
    </w:p>
    <w:p>
      <w:r>
        <w:t>Ainsi, l'autorité cantonale a consacré le considérant 5 de l'arrêt critiqué au problème de la réduction de peine telle que l'entend l' art. 163 al. 3 CO . Après avoir rappelé, citations de jurisprudence et de doctrine à l'appui, à quelles conditions la réduction judiciaire prévue par la norme en question entre en jeu, elle a exposé en détail sur plus d'une page (cf. consid. 5.4 de l'arrêt déféré) les différents éléments qu'elle prenait en compte pour arrêter la clause pénale à 500'000 US$. La recourante a parfaitement compris la portée de cette motivation comme l'attestent avec éclat les nombreux griefs qu'elle a élevés à ce propos en instance de réforme.</w:t>
      </w:r>
    </w:p>
    <w:p>
      <w:r>
        <w:t>Le moyen pris de la violation du droit d'être entendu est dans ses deux branches dénué de tout fondement.</w:t>
      </w:r>
    </w:p>
    <w:p>
      <w:r>
        <w:rPr>
          <w:b/>
        </w:rPr>
        <w:t>E. 3</w:t>
      </w:r>
    </w:p>
    <w:p>
      <w:r>
        <w:t>La recourante se plaint encore d'arbitraire dans l'appréciation des preuves et dans l'établissement des faits.</w:t>
      </w:r>
    </w:p>
    <w:p>
      <w:r>
        <w:rPr>
          <w:b/>
        </w:rPr>
        <w:t>E. 3.1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III 209 consid. 2.1; 131 I 57 consid. 2 p. 61).</w:t>
      </w:r>
    </w:p>
    <w:p>
      <w:r>
        <w:t>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pour qu'une décision soit annulée pour cause d'arbitraire, il ne suffit pas que la motivation formulée soit insoutenable, il faut encore que la décision apparaisse arbitraire dans son résultat ( ATF 132 I 13 consid. 5.1; 131 I 217 consid. 2.1; 129 I 8 consid. 2.1).</w:t>
      </w:r>
    </w:p>
    <w:p>
      <w:r>
        <w:rPr>
          <w:b/>
        </w:rPr>
        <w:t>E. 3.2.1</w:t>
      </w:r>
    </w:p>
    <w:p>
      <w:r>
        <w:t>La recourante soutient que la cour cantonale est tombée dans l'arbitraire en refusant de rechercher la réelle et commune intention des parties contractantes à la convention du 29 décembre 1992. A l'en croire, le précontrat du 18 décembre 1992 était un élément essentiel pour déterminer la volonté interne et commune des parties quant à la nature juridique des versements partiels effectués par C.________ pour régler tant le prix de l'avion en configuration "Green" que le prix de l'aménagement intérieur et des équipements optionnels de l'aéronef. Auraient dû également être pris en considération sous cet angle les circonstances survenues postérieurement à la conclusion du contrat, plus précisément le comportement adopté par C.________ après la résolution de la vente, tel qu'il résulte de diverses pièces. Ces documents, qui auraient été arbitrairement laissés de côté, montreraient que les demandeurs ont toujours reconnu, jusqu'au dépôt de leur mémoire d'appel du 6 janvier 2005, que lesdits versements constituaient tous des acomptes; la recourante se réfère, d'une part, à trois écritures que lui a adressées en 2002 et 2003 l'ancien conseil des intimés et, d'autre part, à la demande en paiement déposée par C.________ le 25 juin 2003.</w:t>
      </w:r>
    </w:p>
    <w:p>
      <w:r>
        <w:rPr>
          <w:b/>
        </w:rPr>
        <w:t>E. 3.2.2</w:t>
      </w:r>
    </w:p>
    <w:p>
      <w:r>
        <w:t>Il est de jurisprudence que ressortit au droit le principe selon lequel l'interprétation subjective a la priorité sur l'interprétation objective; en conséquence, la violation de ce principe peut être sanctionnée par la juridiction fédérale de réforme ( ATF 131 III 606 consid. 4.1 p. 611; consid. 4.1 non publié de l' ATF 131 III 528 ; 125 III 305 consid. 2b p. 308).</w:t>
      </w:r>
    </w:p>
    <w:p>
      <w:r>
        <w:t>Puisque la question soulevée relève du droit fédéral, elle ne saurait être examinée en instance de recours de droit public, la voie du recours en réforme, à considérer la valeur litigieuse déterminante, étant ouverte à la recourante, qui l'a d'ailleurs saisie ( art. 84 al. 2 OJ ).</w:t>
      </w:r>
    </w:p>
    <w:p>
      <w:r>
        <w:rPr>
          <w:b/>
        </w:rPr>
        <w:t>E. 3.3.1</w:t>
      </w:r>
    </w:p>
    <w:p>
      <w:r>
        <w:t>La recourante fait valoir que la Cour de justice a fait montre d'arbitraire en retenant que l'avion de marque Canadair Challenger a été vendu à un tiers le 1er juillet 1993, alors que A.________ SA n'en est devenu propriétaire que le 18 octobre 1993.</w:t>
      </w:r>
    </w:p>
    <w:p>
      <w:r>
        <w:rPr>
          <w:b/>
        </w:rPr>
        <w:t>E. 3.3.2</w:t>
      </w:r>
    </w:p>
    <w:p>
      <w:r>
        <w:t>L'arrêt cantonal a retenu, sur la base des déclarations des demandeurs, que l'aéronef a été acheté par un tiers le 1er juillet 2003. On ne voit pas en quoi cette constatation serait susceptible d'influer sur le sort du différend. La recourante ne donne d'ailleurs aucune explication à ce sujet, au mépris de l' art. 90 al. 1 let. b OJ .</w:t>
      </w:r>
    </w:p>
    <w:p>
      <w:r>
        <w:t>Quant à la vente subséquente de l'avion à A.________ SA survenue le 18 octobre 1993, elle a été explicitement constatée par l'autorité cantonale au considérant A.f de l'arrêt déféré (p. 5/6). On cherche donc vainement où résiderait l'arbitraire en l'occurrence.</w:t>
      </w:r>
    </w:p>
    <w:p>
      <w:r>
        <w:rPr>
          <w:b/>
        </w:rPr>
        <w:t>E. 3.4.1</w:t>
      </w:r>
    </w:p>
    <w:p>
      <w:r>
        <w:t>La recourante allègue enfin que l'autorité intimée a procédé à une constatation insoutenable des faits en retenant dans sa motivation qu'au moment de la résolution du contrat, la défenderesse disposait d'une garantie de paiement de 12'150'000 US$. Elle prétend que, par l'amendement convenu le 15 janvier 1993, la date de la livraison de l'appareil et le paiement du solde du prix de vente avaient été reportés à un terme qui était postérieur à l'échéance de la lettre de crédit émise le 18 janvier 1993.</w:t>
      </w:r>
    </w:p>
    <w:p>
      <w:r>
        <w:rPr>
          <w:b/>
        </w:rPr>
        <w:t>E. 3.4.2</w:t>
      </w:r>
    </w:p>
    <w:p>
      <w:r>
        <w:t>Il s'agit là d'une critique purement appellatoire et, partant, irrecevable. La recourante ne tente ainsi même pas de démontrer la portée qu'aurait exercée la constatation incriminée sur la solution de la querelle.</w:t>
      </w:r>
    </w:p>
    <w:p>
      <w:r>
        <w:rPr>
          <w:b/>
        </w:rPr>
        <w:t>E. 4</w:t>
      </w:r>
    </w:p>
    <w:p>
      <w:r>
        <w:t>En définitive, le recours doit être rejeté en tant qu'il est recevable. La recourante, qui succombe, paiera l'émolument de justice et versera une indemnité à titre de dépens aux intimés, créanciers solidaires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