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4P.267/2003 vom 25. März 2004</w:t>
      </w:r>
    </w:p>
    <w:p>
      <w:r>
        <w:t>Bundesgericht, 2004-03-25, FR</w:t>
      </w:r>
    </w:p>
    <w:p>
      <w:r>
        <w:rPr>
          <w:b/>
        </w:rPr>
        <w:t xml:space="preserve">Quelle: </w:t>
      </w:r>
      <w:r>
        <w:t>https://mcp.opencaselaw.ch/entscheid/bger_4P.267_2003</w:t>
      </w:r>
    </w:p>
    <w:p>
      <w:r>
        <w:t>FR: TF 4P.267/2003 du 25 mars 2004</w:t>
      </w:r>
    </w:p>
    <w:p>
      <w:r>
        <w:t>IT: TF 4P.267/2003 del 25 marzo 2004</w:t>
      </w:r>
    </w:p>
    <w:p>
      <w:pPr>
        <w:pStyle w:val="Heading2"/>
      </w:pPr>
      <w:r>
        <w:t>Regeste</w:t>
      </w:r>
    </w:p>
    <w:p>
      <w:r>
        <w:t>Procédure civile</w:t>
      </w:r>
    </w:p>
    <w:p>
      <w:pPr>
        <w:pStyle w:val="Heading2"/>
      </w:pPr>
      <w:r>
        <w:t>Erwägungen</w:t>
      </w:r>
    </w:p>
    <w:p>
      <w:r>
        <w:rPr>
          <w:b/>
        </w:rPr>
        <w:t>E. 1</w:t>
      </w:r>
    </w:p>
    <w:p>
      <w:r>
        <w:t>Conformément à la règle générale de l' art. 57 al. 5 OJ , il y a lieu de statuer d'abord sur le recours de droit public.</w:t>
      </w:r>
    </w:p>
    <w:p>
      <w:r>
        <w:rPr>
          <w:b/>
        </w:rPr>
        <w:t>E. 2</w:t>
      </w:r>
    </w:p>
    <w:p>
      <w:r>
        <w:t>Le Tribunal fédéral examine d'office et librement la recevabilité des recours qui lui sont soumis ( ATF 129 I 301 consid. 1). Formé en temps utile contre une décision finale rendue en dernière instance cantonale par la partie déboutée de ses conclusions, le présent recours répond aux exigences des art. 86 al. 1, 88 et 89 al. 1 OJ. Il est à cet égard recevable. Saisi d'un recours de droit public, le Tribunal fédéral n'examine que les griefs d'ordre constitutionnel invoqués et suffisamment motivés dans l'acte de recours (art. 90 al. 1 lit. b OJ; ATF 129 I 185 consid. 1.6). Si la violation peut être invoquée dans un autre recours (réforme ou nullité), la voie du recours de droit public est fermée ( art. 84 al. 2 OJ ; ATF 126 III 445 consid. 3b in fine; 107 II 499 consid. 1): ainsi, le grief fondé sur une application arbitraire du droit fédéral, contraire à l' art. 9 Cst. , est-il subsidiaire par rapport au grief de violation du droit fédéral (Hohl, Procédure civile II, Berne 2002, n. 3308 p. 307).</w:t>
      </w:r>
    </w:p>
    <w:p>
      <w:r>
        <w:rPr>
          <w:b/>
        </w:rPr>
        <w:t>E. 3</w:t>
      </w:r>
    </w:p>
    <w:p>
      <w:r>
        <w:t>Dans son écriture, la recourante soutient que la cour cantonale a rendu une décision manifestement insoutenable, en méconnaissant gravement un principe juridique clair et indiscuté. Elle critique ainsi le sens qui a été donné dans l'arrêt entrepris aux termes "sans engagement" que l'intimé a utilisés lors de la réunion du 12 mai 2000. Elle reproche par ailleurs à la juridiction intimée d'avoir violé les principes jurisprudentiels applicables en matière de conclusion d'un contrat d'entreprise. Enfin, elle voit une "hérésie juridique" dans le fait d'avoir écarté les tarifs institués par la norme SIA 102 en matière d'honoraires d'architecte et mentionne à ce propos l' art. 374 CO . Toutes ces critiques visent l'application de normes légales ou de principes jurisprudentiels en rapport avec la formation du contrat. La recourante se réfère d'ailleurs, dans son recours de droit public, à plusieurs dispositions du code des obligations et son argumentation juridique se rapproche sensiblement de celle qu'elle a développée dans son recours en réforme. Le Tribunal fédéral constate ainsi que la recourante n'entend s'en prendre en réalité qu'à la mauvaise application du droit fédéral au sens de l' art. 43 al. 2 OJ . La seule référence à l' art. 9 Cst. n'a aucune portée propre, puisqu'elle n'est là qu'aux fins de souligner la dimension prétendument arbitraire de la violation du droit fédéral. Dans de telles conditions, le présent recours doit être déclaré irrecevable, dès lors que la voie du recours en réforme est en l'occurrence ouverte (cf. arrêt du 25 mars 2004 dans la cause 4C.341/2003 opposant les parties, consid. 1.1).</w:t>
      </w:r>
    </w:p>
    <w:p>
      <w:r>
        <w:rPr>
          <w:b/>
        </w:rPr>
        <w:t>E. 4</w:t>
      </w:r>
    </w:p>
    <w:p>
      <w:r>
        <w:t>Compte tenu de l'issue de la cause, la recourante supportera l'émolument de justice ( art. 156 al. 1 OJ ). Il n'y a pas lieu d'allouer des dépens ( art. 159 al. 1 OJ ) à l'intimé qui a agi en personne, dès lors qu'il n'a pas fait valoir de frais particuliers inhérents à sa défense et que les conditions que pose la jurisprudence pour l'octroi d'une telle indemnité à une partie non assistée d'un avocat ne sont pas réunies (cf. ATF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