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4P.267/2000 vom 6. April 2001</w:t>
      </w:r>
    </w:p>
    <w:p>
      <w:r>
        <w:t>Bundesgericht, 2001-04-06, FR</w:t>
      </w:r>
    </w:p>
    <w:p>
      <w:r>
        <w:rPr>
          <w:b/>
        </w:rPr>
        <w:t xml:space="preserve">Quelle: </w:t>
      </w:r>
      <w:r>
        <w:t>https://mcp.opencaselaw.ch/entscheid/bger_4P.267_2000</w:t>
      </w:r>
    </w:p>
    <w:p>
      <w:r>
        <w:t>FR: TF 4P.267/2000 du 6 avril 2001</w:t>
      </w:r>
    </w:p>
    <w:p>
      <w:r>
        <w:t>IT: TF 4P.267/2000 del 6 aprile 2001</w:t>
      </w:r>
    </w:p>
    <w:p>
      <w:pPr>
        <w:pStyle w:val="Heading2"/>
      </w:pPr>
      <w:r>
        <w:t>Erwägungen</w:t>
      </w:r>
    </w:p>
    <w:p>
      <w:r>
        <w:rPr>
          <w:b/>
        </w:rPr>
        <w:t>E. 1</w:t>
      </w:r>
    </w:p>
    <w:p>
      <w:r>
        <w:t>Selon la règle générale de l' art. 57 al. 5 OJ , le recours de droit public sera examiné en premier lieu.</w:t>
      </w:r>
    </w:p>
    <w:p>
      <w:r>
        <w:rPr>
          <w:b/>
        </w:rPr>
        <w:t>E. 2</w:t>
      </w:r>
    </w:p>
    <w:p>
      <w:r>
        <w:t>Les recourants invoquent la violation de l' art. 9 Cst. , soit l'arbitraire dans l'appréciation des preuves.</w:t>
      </w:r>
    </w:p>
    <w:p>
      <w:r>
        <w:t>Ils reprochent au jugement entrepris d'avoir privilégié la déposition du préposé N.________, lequel a déclaré n'avoir jamais eu entre les mains d'original du contrat de bail, au mépris de l'ensemble des autres éléments qui corroboreraient les explications des recourants. Ils invoquent la quittance qui leur a été remise le 21 juin 1996, accusant réception d'un contrat de bail, qui ne serait pas signée par le témoin N.________, mais par une autre personne. Ils font aussi état d'une lettre à la demanderesse du 12 juin 1996, avec copie à l'office des poursuites, mentionnant le bail litigieux, ainsi que d'une lettre à l'office du 17 juin 1996, se référant au contrat de bail et à la nécessité de le mentionner dans les conditions de vente. Ils énumèrent ensuite un certain nombre d'éléments disparates susceptibles, selon eux, de mettre en doute l'affirmation péremptoire du témoin N.________.</w:t>
      </w:r>
    </w:p>
    <w:p>
      <w:r>
        <w:t>Les recourants développent encore divers arguments permettant, à les en croire, de compléter la critique dirigée contre l'appréciation des preuves. L'ensemble du dossier fournirait ainsi un nombre d'éléments importants parlant en faveur de l'existence du contrat de bail litigieux et en particulier de son dépôt à l'Office des poursuites et faillites de B.________. La cour cantonale n'aurait retenu qu'un aspect des preuves administrées pour mettre en avant des indices non relevants, au préjudice d'autres déterminants.</w:t>
      </w:r>
    </w:p>
    <w:p>
      <w:r>
        <w:rPr>
          <w:b/>
        </w:rPr>
        <w:t>E. 3</w:t>
      </w:r>
    </w:p>
    <w:p>
      <w:r>
        <w:t>a) 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ATF 125 I 166 consid. 2a; 125 II 10 consid. 3a, 129 consid. 5b).</w:t>
      </w:r>
    </w:p>
    <w:p>
      <w:r>
        <w:t>S'agissant de l'appréciation des preuves, une jurisprudence constante reconnaît au juge du fait un large pouvoir d'appréciation dans ce domaine. Le Tribunal fédéral n'intervient, en conséquence, que si le juge cantonal a abusé de ce pouvoir, en particulier lorsqu'il parvient à des conclusions manifestement insoutenables ( ATF 120 Ia 31 consid. 4b; 118 Ia 28 consid. 1b). Il appartient au recourant d'établir la réalisation de ces conditions en tentant de démontrer, par une argumentation précise, que la constatation attaquée ne trouve aucune assise dans le dossier ( art. 90 al. 1 let. b OJ ; ATF 122 I 70 consid. 1c; 119 Ia 197 consid. 1d).</w:t>
      </w:r>
    </w:p>
    <w:p>
      <w:r>
        <w:t>Le grief tiré de l'appréciation arbitraire des preuves ne peut être pris en considération que si son admission est de nature à modifier le sort du litige, ce qui n'est pas le cas lorsqu'il vise une constatation de fait n'ayant aucune incidence sur l'application du droit.</w:t>
      </w:r>
    </w:p>
    <w:p>
      <w:r>
        <w:t>b) En l'occurrence, le recours ne satisfait nullement aux exigences de motivation posées par la jurisprudence.</w:t>
      </w:r>
    </w:p>
    <w:p>
      <w:r>
        <w:t>Les recourants se bornent, en effet, à tenter de soumettre au Tribunal fédéral une version des faits autre que celle retenue par la cour cantonale, comme s'ils plaidaient devant une juridiction d'appel. Ils ne font pas l'ombre d'une démonstration que des constatations de fait seraient manifestement insoutenables ou fausses, vu l'absence de toute assise dans le dossier. Il apparaît même, bien au contraire, que l'appréciation des preuves et des faits par la cour cantonale, soit la constatation selon laquelle aucun contrat de bail n'a été conclu le 1er mai 1994, et aucun original du contrat n'a été remis à l'office des poursuites, résiste au grief d'arbitraire.</w:t>
      </w:r>
    </w:p>
    <w:p>
      <w:r>
        <w:t>Le moyen ne peut donc qu'être rejeté dans la mesure où il est recevable.</w:t>
      </w:r>
    </w:p>
    <w:p>
      <w:r>
        <w:rPr>
          <w:b/>
        </w:rPr>
        <w:t>E. 4</w:t>
      </w:r>
    </w:p>
    <w:p>
      <w:r>
        <w:t>Les recourants s'en prennent ensuite au rejet de leur grief de défaut de citation préalable en conciliation, dans la mesure où il repose sur l'application de l'art. 16 de la loi cantonale d'introduction du code des obligations (LICO). Ils relèvent cependant que, dans le recours en réforme déposé parallèlement, il est soutenu que l'examen du respect de l'exigence contenue dans cette disposition relève du droit fédéral, car en cette matière le droit cantonal n'a pas de portée autonome. Ce n'est donc que pour le cas où la juridiction fédérale devrait apprécier différemment cet élément, et déclarer irrecevable le recours en réforme, que la critique est reprise dans le recours de droit public.</w:t>
      </w:r>
    </w:p>
    <w:p>
      <w:r>
        <w:t>Le moyen tiré du défaut de citation en conciliation touche bien à l'application du droit fédéral, plus particulièrement de l' art. 274a CO . Dès lors, il peut être invoqué dans le recours en réforme, de telle sorte qu'il est irrecevable dans le recours de droit public, en vertu de l' art. 84 al. 2 OJ .</w:t>
      </w:r>
    </w:p>
    <w:p>
      <w:r>
        <w:rPr>
          <w:b/>
        </w:rPr>
        <w:t>E. 5</w:t>
      </w:r>
    </w:p>
    <w:p>
      <w:r>
        <w:t>Le recours doit donc être rejeté dans la faible mesure de sa recevabilité. Vu l'issue du litige, les frais et dépens seront mis solidairement à la charge des recourants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