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4P.264/2002 vom 15. April 2003</w:t>
      </w:r>
    </w:p>
    <w:p>
      <w:r>
        <w:t>Bundesgericht, 2003-04-15, FR</w:t>
      </w:r>
    </w:p>
    <w:p>
      <w:r>
        <w:rPr>
          <w:b/>
        </w:rPr>
        <w:t xml:space="preserve">Quelle: </w:t>
      </w:r>
      <w:r>
        <w:t>https://mcp.opencaselaw.ch/entscheid/bger_4P.264_2002</w:t>
      </w:r>
    </w:p>
    <w:p>
      <w:r>
        <w:t>FR: TF 4P.264/2002 du 15 avril 2003</w:t>
      </w:r>
    </w:p>
    <w:p>
      <w:r>
        <w:t>IT: TF 4P.264/2002 del 15 aprile 2003</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 décision attaquée revêt un caractère final et n'est susceptible d'aucun autre moyen de droit sur le plan fédéral ou cantonal dans la mesure où la recourante invoque la violation directe d'un droit constitutionnel, de sorte que la règle de la subsidiarité du recours de droit public est respectée. Saisi d'un recours de droit public, le Tribunal fédéral n'examine que les griefs d'ordre constitutionnel invoqués et suffisamment motivés par l'acte de recours ( art. 90 al. 1 let. b OJ ; ATF 127 I 38 consid. 3c; 127 III 279 consid. 1c; 126 III 524 consid. 1c, 534 consid. 1b).</w:t>
      </w:r>
    </w:p>
    <w:p>
      <w:r>
        <w:rPr>
          <w:b/>
        </w:rPr>
        <w:t>E. 1.2</w:t>
      </w:r>
    </w:p>
    <w:p>
      <w:r>
        <w:t>Le "recours incident" formé par l'intimée dans le cadre de sa réponse est irrecevable, puisqu'une telle institution n'existe pas dans le cadre du recours de droit public. Par ailleurs, cette écriture ne peut être examinée en tant que recours, vu sa tardiveté (cf. art. 89 al. 1 OJ ).</w:t>
      </w:r>
    </w:p>
    <w:p>
      <w:r>
        <w:rPr>
          <w:b/>
        </w:rPr>
        <w:t>E. 2</w:t>
      </w:r>
    </w:p>
    <w:p>
      <w:r>
        <w:t>La recourante reproche à la Cour d'appel d'avoir fait preuve d'arbitraire en retenant qu'elle avait explicitement accepté le bien-fondé de la créance opposée en compensation par l'intimée. La recourante admet avoir accepté que la Cour examine le bien-fondé de cette créance mais soutient ne jamais avoir reconnu son bien-fondé, ni dans son principe, ni dans son montant.</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126 I 168 consid. 3a; 125 I 166 consid. 2a).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w:t>
      </w:r>
    </w:p>
    <w:p>
      <w:r>
        <w:rPr>
          <w:b/>
        </w:rPr>
        <w:t>E. 2.2</w:t>
      </w:r>
    </w:p>
    <w:p>
      <w:r>
        <w:t>La Cour d'appel a effectivement considéré que la recourante avait admis le bien-fondé de la créance opposée en compensation en écrivant, dans son mémoire d'appel: "la demanderesse a toujours estimé que l'accueil reservé à la fille de la demanderesse justifiait une compensation, ce que le tribunal n'a pas retenu" (arrêt attaqué p. 14 n. 86). L'ambiguïté de cette phrase, de même que les autres éléments du dossier rendent toutefois insoutenable l'appréciation de la Cour. S'agissant de la phrase elle-même, il ressort du contexte que la répétition du mot "demanderesse" constitue une erreur de plume. Si elle devait être lue telle quelle, cette phrase serait d'ailleurs contredite par le paragraphe suivant. En outre, ce n'est que dans son propre mémoire d'appel que l'intimée a expressément soulevé l'exception de compensation; or la demanderesse a, dans sa réponse à cet appel, clairement réfuté devoir quoi que ce soit pour l'hébergement de sa fille. L'intimée affirme que la reconnaissance du bien-fondé de sa créance découle aussi d'une déclaration de la recourante lors de l'audience du 7 novembre 2002. Elle aurait expliqué, à cette occasion, avoir accepté une paie de 500 fr. parce que l'intimée était d'accord d'héberger sa fille. Cette déclaration n'a toutefois pas le sens qu'aimerait lui donner l'intimée. En effet, accepter un salaire dérisoire au motif que son enfant peut habiter avec soi chez l'employeur ne signifie pas encore reconnaître devoir indemniser ce dernier pour le cas où il serait condamné à verser un salaire conforme aux règles en vigueur. En retenant que la recourante avait reconnu le bien-fondé de la créance opposée en compensation, la Cour d'appel a interprété les preuves de manière insoutenable.</w:t>
      </w:r>
    </w:p>
    <w:p>
      <w:r>
        <w:rPr>
          <w:b/>
        </w:rPr>
        <w:t>E. 3</w:t>
      </w:r>
    </w:p>
    <w:p>
      <w:r>
        <w:t>Dans un deuxième grief, la recourante soutient que la Cour d'appel a de manière arbitraire admis implicitement l'existence d'un accord de volonté entre les parties au sujet du caractère onéreux de l'hébergement de l'enfant. Un tel accord n'ayant jamais été allégué ni fait l'objet d'enquêtes, il était arbitraire d'admettre que la preuve en avait été rapportée. La recourante se plaint en outre de la violation du devoir de motivation de l'autorité cantonale, qui n'a nullement mentionné les déclarations de l'intimée, les circonstances dans lesquelles il a été mis fin à l'hébergement de l'enfant et le texte signé le 11 octobre 1999 par les parties.</w:t>
      </w:r>
    </w:p>
    <w:p>
      <w:r>
        <w:rPr>
          <w:b/>
        </w:rPr>
        <w:t>E. 3.1</w:t>
      </w:r>
    </w:p>
    <w:p>
      <w:r>
        <w:t>La jurisprudence a déduit du droit d'être entendu le droit d'obtenir une décision motivée. La motivation d'une décision est suffisante lorsque l'intéressé est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 ATF 124 V 180 consid. 1a i.f.; 117 Ia 1 consid. 3a p. 3 s.).</w:t>
      </w:r>
    </w:p>
    <w:p>
      <w:r>
        <w:rPr>
          <w:b/>
        </w:rPr>
        <w:t>E. 3.2</w:t>
      </w:r>
    </w:p>
    <w:p>
      <w:r>
        <w:t>En l'espèce, l'arrêt attaqué est extrêmement bref sur la question du fondement de la créance opposée en compensation par l'intimée. L'autorité cantonale se limite en effet à affirmer que "l'objection de compensation est fondée, tant à teneur du dossier qu'à teneur de la loi ( art. 120 CO )". On en déduit qu'elle est parvenue à la conviction que l'intimée disposait d'une créance contre la recourante pour l'hébergement de sa fille. Il est par contre impossible de déterminer si la cour cantonale a établi la volonté réelle des parties ou si sa conviction repose sur une interprétation de leurs déclarations selon le principe de la confiance. La question est d'importance puisqu'elle permet de savoir quels éléments de fait ont été pris en considération et quelle est la voie de recours adéquate pour critiquer le raisonnement cantonal. En effet, lorsque le juge parvient à se convaincre d'une commune et réelle intention des parties, il s'agit d'une constatation de fait qui doit être attaquée par un recours de droit public ( ATF 126 III 25 consid. 3c). En revanche, l'application du principe de la confiance est une question de droit que le Tribunal fédéral ne peut examiner que dans le cadre d'un recours en réforme ( ATF 127 III 248 consid. 3a). La motivation de l'arrêt déféré ne permettant pas d'effectuer ces distinctions importantes et de comprendre quels éléments ont guidé l'autorité cantonale, la décision attaquée viole le droit d'être entendu de la recourante.</w:t>
      </w:r>
    </w:p>
    <w:p>
      <w:r>
        <w:rPr>
          <w:b/>
        </w:rPr>
        <w:t>E. 4</w:t>
      </w:r>
    </w:p>
    <w:p>
      <w:r>
        <w:t>A titre subsidiaire, la recourante soutient que l'évaluation en espèces de la créance litigieuse ne trouve aucune assise dans le dossier et est donc arbitraire. Citant les normes d'insaisissabilité en vigueur à Genève en 1998, la recourante expose que l'entretien d'une enfant âgée de 6 à 12 ans est évalué à 340 fr. par mois, habillement, frais d'écolage et loisirs compris. Ce grief est plus délicat et ne saurait être admis sans un examen des normes citées par la recourante et des explications de l'intimée. Toutefois, dans la mesure où les deux griefs principaux apparaissent fondés, le sort de ce grief subsidiaire peut rester ouvert.</w:t>
      </w:r>
    </w:p>
    <w:p>
      <w:r>
        <w:rPr>
          <w:b/>
        </w:rPr>
        <w:t>E. 5</w:t>
      </w:r>
    </w:p>
    <w:p>
      <w:r>
        <w:t>Dans un dernier grief, la recourante reproche à la Cour d'appel d'avoir déduit, dans son calcul final, trois mois de cotisation AVS alors que ces montants avaient déjà été déduits par l'intimée lors du paiement de 2'102 fr. le 9 octobre 1999. A cette date, l'intimée a versé à la recourante une somme de 2'102 fr. représentant notamment les salaires d'août et de septembre 1999 (2x 1'400 fr.), moins la cotisation AVS pour trois mois (3x 124,30 fr.). Le 22 novembre, elle a versé le salaire du mois d'octobre (1'400 fr.). La Cour d'appel a annexé à son arrêt un tableau récapitulant les différents postes réclamés par la recourante et les sommes allouées. Ce tableau mentionne deux totaux importants. D'une part, le montant net dû par l'intimée à la recourante avant compensation (colonne T: 17'523,25 fr.), et d'autre part, le montant des cotisations AVS à la charge de l'employée (colonne Q: 3'636 fr.). Pour parvenir au premier montant, la Cour d'appel a pris en considération la différence entre le salaire reçu en espèces et les 2/3 du salaire prévu par le contrat type de travail du canton de Genève (colonne E), ainsi que la prime d'assurance-maladie de la recourante (colonne M). Après déduction de l'AVS (colonne S), elle est parvenue au montant global net de 17'523,25 fr. (colonne T). On ne peut reprocher à la Cour d'appel, dans le cadre de ce calcul, d'avoir déduit à double les cotisations AVS des mois d'août à octobre 1999. En effet, la colonne E représente une différence entre deux salaires bruts, et la prime d'assurance-maladie est soumise à l'AVS, si elle est versée directement au travailleur (cf. arrêt cantonal p. 26 n. 80). S'agissant du deuxième montant, la Cour d'appel explique qu'elle a établi le total de la rémunération brute soumise à l'AVS (colonne O) pour permettre à la Caisse de compensation de calculer les cotisations paritaires encore dues. Le solde encore dû par la recourante s'élèverait à 2'077,47 fr. (arrêt cantonal p. 27, n. 86). Ce chiffre est toutefois erroné dans la mesure où il ne prend pas en compte les trois déductions de 124,30 fr. opérées par l'intimée à titre de cotisation AVS sur les salaires de la recourante versés pour les mois d'août à octobre 1999. En effet, la Cour d'appel calcule la part AVS employé (colonne Q) sur la rémunération totale brute (colonnes O), puis déduit du montant de 3'636 fr. la somme déjà versée par l'intimée (1'558 fr.) pour la période du 1er janvier au 30 juin 1999. Elle aurait encore dû déduire, à ce stade, les 372 fr. prélevés par l'intimée sur les salaires de la recourante le 9 octobre 1999. L'erreur de la Cour d'appel n'a pas de conséquence directe sur le dispositif de l'arrêt attaqué, puisqu'elle ne modifie pas le montant dû par l'intimée à la recourante; elle influence cependant le montant des cotisations encore dues par la recourante à la Caisse de compensation AVS, selon le paragraphe 86 des considérants de l'arrêt cantonal.</w:t>
      </w:r>
    </w:p>
    <w:p>
      <w:r>
        <w:rPr>
          <w:b/>
        </w:rPr>
        <w:t>E. 6</w:t>
      </w:r>
    </w:p>
    <w:p>
      <w:r>
        <w:t>Au vu de ce qui précède, le recours de droit public sera admis. En application de l' art. 156 al. 1 OJ , l'intimée, qui succombe, devra supporter les frais de la procédure fédérale; celle-ci n'est pas gratuite puisqu'elle a trait à un différend résultant du contrat de travail dont la valeur litigieuse déterminante, calculée au moment du dépôt de la demande (en première instance), dépasse le plafond de 30'000 fr. fixé à l' art. 343 al. 2 CO . Conformément à l' art. 159 al. 1 OJ , l'intimée devra en outre verser à la recourante, une indemnité à titre de dépens. La recourante a été mise au bénéfice de l'assistance judiciaire. Par conséquent, les honoraires de son avocat, fixés dans le dispositif du présent arrêt, seront supportés par la caisse du Tribunal fédéral au cas où les dépens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