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4P.264/2001 vom 10. Januar 2002</w:t>
      </w:r>
    </w:p>
    <w:p>
      <w:r>
        <w:t>Bundesgericht, 2002-01-10, FR</w:t>
      </w:r>
    </w:p>
    <w:p>
      <w:r>
        <w:rPr>
          <w:b/>
        </w:rPr>
        <w:t xml:space="preserve">Quelle: </w:t>
      </w:r>
      <w:r>
        <w:t>https://mcp.opencaselaw.ch/entscheid/bger_4P.264_2001</w:t>
      </w:r>
    </w:p>
    <w:p>
      <w:r>
        <w:t>FR: TF 4P.264/2001 du 10 janvier 2002</w:t>
      </w:r>
    </w:p>
    <w:p>
      <w:r>
        <w:t>IT: TF 4P.264/2001 del 10 gennaio 2002</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 décision attaquée revêt un caractère final et n'est susceptible d'aucun autre moyen de droit sur le plan fédéral ou cantonal (comme cela ressort de la décision du 25 octobre 2001 examinée dans le recours de droit public déposé parallèlement, cause 4P.272/2001), de sorte que la règle de la subsidiarité du recours de droit public est respectée (art. 84 al. 2 et 86 al. 1 OJ). Compte tenu de la valeur litigieuse, un recours en réforme est exclu ( art. 46 OJ ).</w:t>
      </w:r>
    </w:p>
    <w:p>
      <w:r>
        <w:t>Le recourant est personnellement touché par la décision attaquée, qui rejette ses conclusions en paiement; il a donc un intérêt personnel, actuel et juridiquement protégé à ce que cette décision n'ait pas été prise en violation de ses droits constitutionnels. En conséquence, il a qualité pour recourir ( art. 88 OJ ).</w:t>
      </w:r>
    </w:p>
    <w:p>
      <w:r>
        <w:t>Interjeté en temps utile ( art 89 al. 1 OJ ) et dans la forme prévue par la loi ( art. 90 al. 1 OJ ), le recours est recevable.</w:t>
      </w:r>
    </w:p>
    <w:p>
      <w:r>
        <w:t>b) Saisi d'un recours de droit public, le Tribunal fédéral n'examine que les griefs d'ordre constitutionnel invoqués et suffisamment motivés par l'acte de recours ( art. 90 al. 1 let. b OJ ; ATF 127 I 38 consid. 3c; 127 III 279 consid. 1c; 126 III 524 consid. 1c, 534 consid. 1b).</w:t>
      </w:r>
    </w:p>
    <w:p>
      <w:r>
        <w:rPr>
          <w:b/>
        </w:rPr>
        <w:t>E. 2</w:t>
      </w:r>
    </w:p>
    <w:p>
      <w:r>
        <w:t>a) Le recourant invoque exclusivement l'interdiction de l'arbitraire garantie par l' art. 9 Cst.</w:t>
      </w:r>
    </w:p>
    <w:p>
      <w:r>
        <w:t>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125 II 10 consid. 3a, 129 consid. 5b).</w:t>
      </w:r>
    </w:p>
    <w:p>
      <w:r>
        <w:t>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w:t>
      </w:r>
    </w:p>
    <w:p>
      <w:r>
        <w:t>b) Le recourant invoque tout d'abord l'arbitraire dans l'appréciation des preuves et l'établissement des faits.</w:t>
      </w:r>
    </w:p>
    <w:p>
      <w:r>
        <w:t>aa) Le recourant reproche à l'autorité cantonale d'être tombée dans l'arbitraire en ne retenant pas que la formation continue était imposée par l'employeur.</w:t>
      </w:r>
    </w:p>
    <w:p>
      <w:r>
        <w:t>L'autorité cantonale a constaté - sans que le recourant n'invoque à ce sujet l'arbitraire - que c'était lui-même qui avait demandé à pouvoir suivre cette formation continue.</w:t>
      </w:r>
    </w:p>
    <w:p>
      <w:r>
        <w:t>Il est indiqué que quatre collaborateurs se sont inscrits; plus loin dans le jugement, il est précisé que trois collaborateurs (dont le recourant) ont suivi cette formation continue. Le recourant ne tente pas de démontrer qu'il s'agit là de la totalité de l'effectif du centre. Il ne cite aucun moyen de preuve d'où il ressortirait que les trois personnes qui ont suivi les cours avaient reçu des injonctions personnelles spéciales. Sur la base de ces éléments, on ne peut pas dire, en examinant les moyens probatoires cités de part et d'autre, que le recourant était obligé de suivre cette formation continue et qu'il s'exposait, en cas de refus, à un licenciement.</w:t>
      </w:r>
    </w:p>
    <w:p>
      <w:r>
        <w:t>En ne constatant pas l'existence d'un ordre de la part de l'employeur, le tribunal n'a pas versé dans l'arbitraire.</w:t>
      </w:r>
    </w:p>
    <w:p>
      <w:r>
        <w:t>bb) Le recourant fait grief à l'autorité cantonale de ne pas avoir retenu que le directeur (à l'époque) du centre lui avait donné l'assurance qu'il recevrait une participation plus élevée à ses frais de formation.</w:t>
      </w:r>
    </w:p>
    <w:p>
      <w:r>
        <w:t>En réalité, les juges valaisans n'ont pas ignoré la version présentée par l'ancien directeur, qui est expressément mentionnée au bas de la page 4 du jugement. Cependant, ils ont procédé à une appréciation des preuves et expliqué pourquoi cette version n'emportait pas leur conviction (jugement page 8 in fine) et ils ont en définitive considéré que la question était sans pertinence (jugement page 9 in initio).</w:t>
      </w:r>
    </w:p>
    <w:p>
      <w:r>
        <w:t>On conçoit mal pourquoi - et le recourant ne l'explique pas - il aurait été le seul auquel des conditions plus favorables auraient été promises, alors que les deux personnes qui ont suivi les cours parallèlement n'allèguent rien de semblable. Surtout, on ne comprend pas pourquoi le recourant, si de telles promesses lui avaient été faites, a accepté sans réagir les nouvelles conditions fixées lors de la séance du 19 septembre 1997 et a signé le protocole du 25 novembre 1997, dont la teneur est claire.</w:t>
      </w:r>
    </w:p>
    <w:p>
      <w:r>
        <w:t>A considérer ces données, le tribunal n'a pas fait montre d'arbitraire en admettant que la version présentée par l'ancien directeur était douteuse.</w:t>
      </w:r>
    </w:p>
    <w:p>
      <w:r>
        <w:t>En tout état de cause, on ne voit pas pourquoi un éventuel accord antérieur ne pouvait pas être valablement remplacé par un accord ultérieur. Le recourant ne tente pas de démontrer que les promesses faites par l'ancien directeur seraient postérieures au protocole signé le 25 novembre 1997.</w:t>
      </w:r>
    </w:p>
    <w:p>
      <w:r>
        <w:t>Il ressort en outre de l'attitude du recourant et de la lettre qu'il a cosignée le 26 mai 1998 qu'il n'était pas dans l'erreur sur le sens et la portée de ce protocole. Il n'a pas été établi - et le recourant n'invoque pas l'arbitraire à ce sujet - que le protocole aurait été signé dans des circonstances qui puissent donner lieu à un vice du consentement. En concluant que le recourant était de toute manière lié par le protocole individuel qu'il a signé le 25 novembre 1997 (quelles qu'aient pu être les promesses antérieures), le Tribunal du travail n'a pas statué de manière insoutenable.</w:t>
      </w:r>
    </w:p>
    <w:p>
      <w:r>
        <w:t>c) Le recourant invoque une violation arbitraire des art. 327a et 341 CO . Dès lors que le recours en réforme était exclu en raison de la valeur litigieuse insuffisante ( art. 46 OJ ), ce grief peut être examiné ( art. 84 al. 2 OJ ), mais seulement sous l'angle restreint de l'arbitraire ( art. 84 al. 1 let. a OJ ).</w:t>
      </w:r>
    </w:p>
    <w:p>
      <w:r>
        <w:t>aa) L' art. 327a al. 1 CO prévoit que l'employeur rembourse au travailleur tous les frais imposés par l'exécution du travail (c'est le Tribunal fédéral qui souligne) et, lorsque le travailleur est occupé en dehors de son lieu de travail, les dépenses nécessaires pour son entretien.</w:t>
      </w:r>
    </w:p>
    <w:p>
      <w:r>
        <w:t>Cette règle est impérative ( art. 327a al. 3 CO ); les modalités d'exécution de cette obligation peuvent être réglées conformément à l' art. 327a al. 2 CO .</w:t>
      </w:r>
    </w:p>
    <w:p>
      <w:r>
        <w:t>Il est communément admis que les frais de formation continue ne sont pas des "frais imposés par l'exécution du travail" au sens de l' art. 327a al. 1 CO et que l'employeur ne doit les supporter que dans la mesure où un accord le prévoit (Rehbinder, Commentaire bernois, n. 3 ad art. 327a CO ,p. 396 2ème alinéa). En effet, la formation continue se distingue du travail qui est exécuté directement dans l'intérêt de l'employeur et qui constitue la contrepartie du salaire.</w:t>
      </w:r>
    </w:p>
    <w:p>
      <w:r>
        <w:t>Certes, l'employeur peut avoir intérêt à encourager la formation continue, afin de disposer d'un personnel bien formé dont les connaissances sont tenues à jour. Il n'en demeure pas moins que la formation est aussi et principalement dans l'intérêt du travailleur, puisqu'elle lui permet souvent de prétendre à un salaire supérieur et qu'elle constitue un avantage sur le marché du travail au cas où il devrait chercher un nouvel emploi. Il appartient en principe au travailleur de se former à ses frais pour fournir à l'employeur des services correspondant au salaire.</w:t>
      </w:r>
    </w:p>
    <w:p>
      <w:r>
        <w:t>En considérant implicitement que les frais de formation continue ne sont pas compris dans ceux évoqués à l' art. 327a CO , le tribunal n'a pas violé arbitrairement cette norme.</w:t>
      </w:r>
    </w:p>
    <w:p>
      <w:r>
        <w:t>bb) Dès lors qu'aucune disposition impérative de la loi ou d'une convention collective n'imposait à l'employeur l'obligation de rembourser les frais de formation continue, l' art. 341 CO n'est pas applicable. En conséquence, cette disposition n'a pas été enfreinte arbitrairement.</w:t>
      </w:r>
    </w:p>
    <w:p>
      <w:r>
        <w:rPr>
          <w:b/>
        </w:rPr>
        <w:t>E. 3</w:t>
      </w:r>
    </w:p>
    <w:p>
      <w:r>
        <w:t>Il suit de là que le recours doit être rejeté.</w:t>
      </w:r>
    </w:p>
    <w:p>
      <w:r>
        <w:t>La procédure est gratuite, puisque la valeur litigieuse, selon la prétention du demandeur à l'ouverture de l'action ( ATF 100 II 358 ), ne dépasse pas 30 000 fr. ( art. 343 al. 2 et 3 CO ). Cette règle vaut pour tous les degrés de juridiction, y compris la procédure de recours de droit public devant le Tribunal fédéral ( ATF 98 Ia 561 consid. 6a). En revanche, des dépens sont dus par la partie qui succombe ( ATF 115 II 30 consid. 5c; 110 II 273 consid. 3 p. 276).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