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4P.263/2003 vom 1. April 2004</w:t>
      </w:r>
    </w:p>
    <w:p>
      <w:r>
        <w:t>Bundesgericht, 2004-04-01, FR</w:t>
      </w:r>
    </w:p>
    <w:p>
      <w:r>
        <w:rPr>
          <w:b/>
        </w:rPr>
        <w:t xml:space="preserve">Quelle: </w:t>
      </w:r>
      <w:r>
        <w:t>https://mcp.opencaselaw.ch/entscheid/bger_4P.263_2003</w:t>
      </w:r>
    </w:p>
    <w:p>
      <w:r>
        <w:t>FR: TF 4P.263/2003 du 1 avril 2004</w:t>
      </w:r>
    </w:p>
    <w:p>
      <w:r>
        <w:t>IT: TF 4P.263/2003 del 1 aprile 2004</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w:t>
      </w:r>
    </w:p>
    <w:p>
      <w:r>
        <w:t>Le jugement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w:t>
      </w:r>
    </w:p>
    <w:p>
      <w:r>
        <w:t>Le recourant est personnellement touché par la décision attaquée, qui le condamne à paiement, de sorte qu'il a un intérêt personnel, actuel et juridiquement protégé à ce que cette décision n'ait pas été prise en violation de ses droits constitutionnels; en conséquence, il a qualité pour recourir ( art. 88 OJ ).</w:t>
      </w:r>
    </w:p>
    <w:p>
      <w:r>
        <w:rPr>
          <w:b/>
        </w:rPr>
        <w:t>E. 1.3</w:t>
      </w:r>
    </w:p>
    <w:p>
      <w:r>
        <w:t>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2</w:t>
      </w:r>
    </w:p>
    <w:p>
      <w:r>
        <w:t>Le recourant reproche tout d'abord à la cour cantonale d'avoir arbitrairement constaté les faits en suivant l'expert, lequel a arrêté à 149'193 fr. les honoraires qui auraient été dus à l'intimée pour l'exécution complète du contrat. A l'en croire, les juges cantonaux devaient se référer à la rémunération de base, fixée contractuellement à 120'000 fr. et réclamée en justice par la demanderesse, et non à la rémunération théorique et abstraite ressortant de l'application de la norme SIA 102.</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au sujet plus particulièrement de l'appréciation d'une expertise, cf. ATF 122 V 157 consid. 1c p. 160; 119 Ib 254 consid. 8a p. 274; 118 Ia 144 consid. 1c p. 146).</w:t>
      </w:r>
    </w:p>
    <w:p>
      <w:r>
        <w:t>Lorsque l'autorité cantonale juge une 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(arrêt 5P.457/2000 du 20 avril 2001, consid. 4a). Il n'appartient pas au Tribunal fédéral de vérifier si toutes les affirmations de l'expert sont exemptes d'arbitraire; sa tâche se limite bien plutôt à examiner si l'autorité intimée pouvait, sans arbitraire, se rallier au résultat de l'expertise.</w:t>
      </w:r>
    </w:p>
    <w:p>
      <w:r>
        <w:rPr>
          <w:b/>
        </w:rPr>
        <w:t>E. 2.2</w:t>
      </w:r>
    </w:p>
    <w:p>
      <w:r>
        <w:t>En l'espèce, l'expert a calculé les honoraires de la demanderesse en recourant au système instauré par la norme SIA 102. Il a ainsi considéré que l'intimée n'avait effectivement réalisé que le 43 % de l'ensemble du contrat. A partir de là, il a fixé les honoraires dus à celle-ci - sans TVA, ni travaux et prestations complémentaires - à 64'153 fr., en tenant compte d'un montant donnant droit aux honoraires de 963'780 fr., d'un taux de base de 17,2 % et d'un coefficient de complexité de 0,9. Le résultat de 64'153 fr. découle donc du calcul suivant: 963'780 fr. x 17,2 % x 0,9 x 43 %.</w:t>
      </w:r>
    </w:p>
    <w:p>
      <w:r>
        <w:t>La cour cantonale en a déduit en bonne logique que si la demanderesse avait réalisé le 100 % des prestations contractuelles, elle aurait eu droit à 149'193 fr. d'honoraires (963'780 fr. x 17,2 % x 0,9 x 100 %) selon la norme SIA. Il n'y a dans ce raisonnement pas trace d'arbitraire.</w:t>
      </w:r>
    </w:p>
    <w:p>
      <w:r>
        <w:t>L'autorité cantonale pouvait enfin laisser de côté sans arbitraire le fait que l'architecte avait articulé un montant final d'honoraires inférieur à celui résultant de la norme SIA pour le cas où il pourrait mener le projet jusqu'à son terme, du moment que cette hypothèse ne s'est pas réalisée et qu'il n'a été établi aucun accord fixant la rémunération de l'architecte pour les diverses étapes de sa mission.</w:t>
      </w:r>
    </w:p>
    <w:p>
      <w:r>
        <w:t>Le moyen est privé de tout fondement.</w:t>
      </w:r>
    </w:p>
    <w:p>
      <w:r>
        <w:rPr>
          <w:b/>
        </w:rPr>
        <w:t>E. 3.1</w:t>
      </w:r>
    </w:p>
    <w:p>
      <w:r>
        <w:t>Le recourant prétend que les magistrats neuchâtelois, au mépris des art. 8 CC et 57 CPC/NE, ont pris spontanément l'initiative d'ajouter la TVA aux honoraires dus à l'intimée, sans que celle-ci l'allègue et le demande d'une quelconque manière. Il soutient qu'ils avaient l'obligation de trancher en défaveur de la demanderesse, qui avait le fardeau de l'allégation et de la preuve sur ce point.</w:t>
      </w:r>
    </w:p>
    <w:p>
      <w:r>
        <w:t>De toute manière, en allouant la TVA à l'intimée, les juges cantonaux auraient enfreint le principe "ne ultra petita" ancré à l' art. 56 CPC /NE.</w:t>
      </w:r>
    </w:p>
    <w:p>
      <w:r>
        <w:rPr>
          <w:b/>
        </w:rPr>
        <w:t>E. 3.2.1</w:t>
      </w:r>
    </w:p>
    <w:p>
      <w:r>
        <w:t>La première branche du grief, où il est invoqué une violation des art. 8 CC et 57 CPC/NE - disposition qui consacre la maxime des débats en procédure neuchâteloise -, a en réalité trait à la notion de charge de la motivation (Substanzierungspflicht).</w:t>
      </w:r>
    </w:p>
    <w:p>
      <w:r>
        <w:t>Le fardeau de l'allégation objectif est le pendant du fardeau de la preuve, dont il ne saurait être dissocié (Fabienne Hohl, Procédure civile, tome I, n. 787, p. 152). En effet, lorsque le droit cantonal de procédure règle le fardeau de l'allégation, celui-ci ne peut en vertu du droit fédéral incomber qu'à la partie qui supporte le fardeau de la preuve, car lorsqu'à défaut d'allégations suffisantes, un état de fait déterminé ne peut pas être pris en considération ou demeure incertain, le juge doit trancher en défaveur de la partie qui supporte le fardeau de la preuve ( ATF 97 II 339 consid. 1b). Par conséquent, la question de savoir si les faits allégués par une partie conformément au droit de procédure permettent de statuer sur sa prétention juridique fondée sur le droit civil fédéral relève non du droit cantonal, mais du droit fédéral ( ATF 112 II 172 consid. I/2c p. 181; 109 II 231 consid. 3c/bb; cf. également Oscar Vogel/Karl Spühler, Grundriss des Zivilprozessrechts, 7e éd., chap. 10 n. 56).</w:t>
      </w:r>
    </w:p>
    <w:p>
      <w:r>
        <w:t>Le droit fédéral est donc violé lorsqu'une autorité cantonale admet à tort une demande dont la motivation en fait est insuffisante au regard de la norme de droit matériel fédéral invoquée, si bien que le grief y relatif doit être soulevé par la voie de la réforme lorsque celle-ci, comme dans le cas présent, est ouverte (arrêt 5P.322/1996 du 12 décembre 1996, consid. 2b, in SJ 1997 p. 240).</w:t>
      </w:r>
    </w:p>
    <w:p>
      <w:r>
        <w:t>En l'espèce, il ressort des motifs exposés ci-dessus que le premier pan du grief ressortit à l'instance de réforme, d'où son irrecevabilité.</w:t>
      </w:r>
    </w:p>
    <w:p>
      <w:r>
        <w:rPr>
          <w:b/>
        </w:rPr>
        <w:t>E. 3.2.2</w:t>
      </w:r>
    </w:p>
    <w:p>
      <w:r>
        <w:t>La possibilité ou l'interdiction pour le juge cantonal de s'écarter des conclusions et de statuer ultra petita relève de la procédure cantonale et non du droit fédéral ( ATF 89 II 56 consid. 3; Jean-François Poudret, COJ II, n. 1.3.2.7 et 1.4.2.11 ad art. 43 OJ ).</w:t>
      </w:r>
    </w:p>
    <w:p>
      <w:r>
        <w:t>A teneur de l' art. 56 CPC /NE, le juge est lié par les conclusions des parties en ce sens qu'il ne peut accorder ni plus ni autre chose que ce qui est demandé (al. 1); il peut accorder moins (al. 2).</w:t>
      </w:r>
    </w:p>
    <w:p>
      <w:r>
        <w:t>Dans sa demande du 22 février 2000, l'intimée a réclamé à son adverse partie le paiement de 50'532 fr.25 en capital. La cour cantonale n'a toutefois accueilli que partiellement les conclusions de la demanderesse, puisqu'elle ne lui a alloué que la somme de 31'000 fr. en capital.</w:t>
      </w:r>
    </w:p>
    <w:p>
      <w:r>
        <w:t>Il appert donc manifestement que l'autorité cantonale, laquelle n'a pas accordé à l'intimée plus que ce qu'elle demandait, n'a pas fait une application arbitraire de l' art. 56 CPC /NE.</w:t>
      </w:r>
    </w:p>
    <w:p>
      <w:r>
        <w:t>Le second pan du grief est infondé.</w:t>
      </w:r>
    </w:p>
    <w:p>
      <w:r>
        <w:rPr>
          <w:b/>
        </w:rPr>
        <w:t>E. 4</w:t>
      </w:r>
    </w:p>
    <w:p>
      <w:r>
        <w:t>Au vu de ce qui précède, le recours doit être rejeté dans la mesure de sa recevabilité. Compte tenu de l'issue de la cause, le recourant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