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4P.256/2003 vom 17. Februar 2004</w:t>
      </w:r>
    </w:p>
    <w:p>
      <w:r>
        <w:t>Bundesgericht, 2004-02-17, FR</w:t>
      </w:r>
    </w:p>
    <w:p>
      <w:r>
        <w:rPr>
          <w:b/>
        </w:rPr>
        <w:t xml:space="preserve">Quelle: </w:t>
      </w:r>
      <w:r>
        <w:t>https://mcp.opencaselaw.ch/entscheid/bger_4P.256_2003</w:t>
      </w:r>
    </w:p>
    <w:p>
      <w:r>
        <w:t>FR: TF 4P.256/2003 du 17 février 2004</w:t>
      </w:r>
    </w:p>
    <w:p>
      <w:r>
        <w:t>IT: TF 4P.256/2003 del 17 febbraio 2004</w:t>
      </w:r>
    </w:p>
    <w:p>
      <w:pPr>
        <w:pStyle w:val="Heading2"/>
      </w:pPr>
      <w:r>
        <w:t>Regeste</w:t>
      </w:r>
    </w:p>
    <w:p>
      <w:r>
        <w:t>Procédure civile</w:t>
      </w:r>
    </w:p>
    <w:p>
      <w:pPr>
        <w:pStyle w:val="Heading2"/>
      </w:pPr>
      <w:r>
        <w:t>Erwägungen</w:t>
      </w:r>
    </w:p>
    <w:p>
      <w:r>
        <w:rPr>
          <w:b/>
        </w:rPr>
        <w:t>E. 1.1</w:t>
      </w:r>
    </w:p>
    <w:p>
      <w:r>
        <w:t>Le Tribunal fédéral examine d'office et avec une pleine cognition la recevabilité des recours qui lui sont soumis ( ATF 129 III 415 consid. 2.1; 129 II 453 consid. 2 p. 456 et les références). 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p. 399; cf. également ATF 122 III 488 consid. 2).</w:t>
      </w:r>
    </w:p>
    <w:p>
      <w:r>
        <w:rPr>
          <w:b/>
        </w:rPr>
        <w:t>E. 1.2</w:t>
      </w:r>
    </w:p>
    <w:p>
      <w:r>
        <w:t>En l'espèce, le recourant se plaint, dans son recours de droit public, d'une application arbitraire de l' art. 72 LN /VD, dont la violation entraînerait la nullité du cautionnement, constitutive en outre d'une atteinte aux art. 6 § 1 CEDH et 30 al. 1 Cst., et d'autre part, dans son recours en réforme, d'une violation des art. 493 al. 2 CO et 55 al. 1 Titre final CC, soutenant que l'acte de cautionnement ne respecte pas le droit fédéral. Ainsi, le recourant et demandeur s'en prend aux deux motivations sur lesquelles l'arrêt entrepris repose.</w:t>
      </w:r>
    </w:p>
    <w:p>
      <w:r>
        <w:rPr>
          <w:b/>
        </w:rPr>
        <w:t>E. 1.3</w:t>
      </w:r>
    </w:p>
    <w:p>
      <w:r>
        <w:t>Conformément à la règle générale de l' art. 57 al. 5 OJ , il convient de se saisir du recours de droit public en premier lieu ( ATF 123 III 213 consid. 1; 122 I 81 consid. 1); on vérifiera d'abord si les griefs d'application arbitraire du droit cantonal déterminant sont bien fondés, de même que ceux de violation des art. 6 CEDH et 30 Cst.; le cas échéant, dans le cadre du recours en réforme, on examinera ensuite si l'acte de cautionnement attaqué respecte la notion fédérale d'acte authentique ( ATF 125 III 131 consid. 4a et les références, p. 133).</w:t>
      </w:r>
    </w:p>
    <w:p>
      <w:r>
        <w:rPr>
          <w:b/>
        </w:rPr>
        <w:t>E. 2</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3.1</w:t>
      </w:r>
    </w:p>
    <w:p>
      <w:r>
        <w:t>Le recourant se plaint d'abord d'arbitraire dans l'application du droit cantonal. 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concevable, voire même préférable ( ATF 129 I 8 consid. 2.1 p. 9; 128 I 81 consid. 2 p. 86, 177 consid. 2.1 p. 182, 273 consid. 2.1 p. 275; 128 II 259 consid. 5 p. 280/281; 127 I 60 consid. 5a p. 70).</w:t>
      </w:r>
    </w:p>
    <w:p>
      <w:r>
        <w:rPr>
          <w:b/>
        </w:rPr>
        <w:t>E. 3.2</w:t>
      </w:r>
    </w:p>
    <w:p>
      <w:r>
        <w:t>D'après l'art. 1er de la loi vaudoise d'application de la loi fédérale du 10 décembre 1941 révisant le titre vingtième du CO, l'acte de cautionnement pour lequel la législation exige la forme authentique est instrumenté conformément à la loi sur le notariat (al. 1 ); l'acte est en principe délivré en brevet, c'est-à-dire sans que le notaire doive en garder la minute; il peut être dressé sur une formule préimprimée et se référer aux clauses de celle-ci (al. 2 et 3). Selon la loi sur le notariat, l'acte notarié, pour revêtir le caractère d'acte authentique, doit être conforme à certaines prescriptions énumérées à l' art. 99 LN /VD. Cette disposition fait notamment référence à l'art. 72 al. 1 à 4 LN/VD; en particulier, "le notaire lit l'acte aux parties et aux personnes appelées à intervenir", à l'exception des "personnes atteintes de surdité (qui) lisent personnellement l'acte" (al. 1 et 3). La pratique vaudoise de recourir à l'incorporation d'un document externe à un acte authentique (JT 1995 III 108 consid. 3d/aa, p. 113) constitue un procédé admis par la jurisprudence du Tribunal fédéral ( ATF 106 II 146 consid. 2b et les références, p. 150/151; 125 III 131 ). Dans le cas présent, l'acte de cautionnement du 1er avril 1986 se compose d'une formule préimprimée à l'en-tête de Y.________ contenant les conditions de l'acte de cautionnement, avec en plus une référence aux conditions générales de la banque, également remises aux cautions; la formule est suivie de l'acte en brevet renvoyant expressément à l'acte de cautionnement préformulé de la banque. La première partie de l'acte en brevet est dressée au verso de celle-ci, parafée par les deux cautions; l'acte en brevet se poursuit sur une seconde feuille collée à la formule préimprimée, le sceau du notaire étant apposé à cheval sur ces deux documents. La troisième et dernière page est signée par les cautions et par le notaire. La situation de fait présente donc d'importantes similitudes avec celle faisant l'objet de la jurisprudence citée par les parties et la juridiction cantonale ( ATF 125 III 131 consid. A, p. 131 et 132, consid. 5b p. 135). Le recourant reproche à la cour cantonale de n'avoir pas prononcé la nullité de l'acte de cautionnement parce que les clauses préimprimées n'ont pas été lues par le notaire instrumentateur, contrairement aux exigences de l' art. 72 al. 1 LN /VD, que la Chambre des recours n'a pas examiné, en se limitant à la seule application du droit fédéral, exprimé dans l' ATF 125 III 131 , notamment p. 137, qui n'impose pas la lecture par le notaire des conditions préimprimées, et qui n'en fait pas ainsi une condition indispensable de la notion même de forme authentique. Il est exact que la Chambre des recours n'a pas elle-même discuté de la validité du cautionnement au regard de l' art. 72 al. 1 LN /VD, dont l'interprétation littérale soutenue par le recourant fait de la lecture intégrale de l'acte, y compris des clauses préimprimées, une condition de son caractère d'acte authentique, en vertu de l' art. 99 let. b LN /VD, la seule exception admise concernant les personnes souffrant de surdité ( art. 72 al. 3 LN /VD). Toutefois, si la Chambre des recours a fait sien "dans son entier l'état de fait du jugement" rendu par la Cour civile, elle s'est aussi référée [p. 6 § 1] à sa jurisprudence relative à l' art. 72 al. 1 LN /VD (JT 1995 III 108), et au raisonnement conduit par les premiers juges [arrêt attaqué p. 10 consid. 4c], au consid. III, p. 12 à 15 de la décision du 2 avril 2001. En substance, la cour cantonale a retenu que les circonstances de l'espèce ne justifiaient pas une exception au principe selon lequel la formule préimprimée à laquelle se référait l'acte en brevet était censée incorporée à celui-ci et bénéficiait de la forme authentique, sans avoir été nécessairement lue par le notaire au comparant. La loi s'interprète tout d'abord d'après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129 II 232 consid. 2.4, p. 236; 129 V 102 consid. 3.2, p. 103; 128 V 102 consid. 5, p. 105; 108 consid. 4b/aa, p. 112; 230 consid. 2a, p. 233). En l'espèce, la Cour civile, à laquelle s'est expressément rapportée la Chambre des recours qui a confirmé son jugement, a constaté que l'incorporation de la formule imprimée avait eu lieu lors de l'instrumentation du cautionnement ( ATF 125 III 131 consid. 5c p. 136), en relevant que l'élément déterminant était l'absence de doute sur le cautionnement, soit sur les conditions préformulées auxquelles renvoie l'acte en brevet. Dans ce sens, il est en principe préférable que si le notaire n'a pas procédé lui-même à la lecture de la formule préimprimée, il puisse attester avoir donné cette dernière à lire au comparant, en authentifiant dans l'acte en brevet cette lecture silencieuse. Dans le cas particulier, il ressort des constatations des juridictions cantonales, et de l'acte en brevet lui-même, que la caution a parafé la première partie de ce dernier au verso de la formule contenant les conditions du cautionnement de la banque. Cela implique que la caution a pu en avoir connaissance, même si l'acte en brevet n'indique rien de tel expressément ou implicitement. Le parafe de la caution sur cette première page démontre que l'intéressée était pratiquement en mesure de saisir les conditions dudit cautionnement. S'ajoute à cet élément le fait que la caution était en l'occurrence l'administrateur délégué de la débitrice garantie, et non pas une personne sans aucune expérience en matière commerciale. La finalité de la forme authentique, soit préserver la caution de décisions irréfléchies, et lui faire prendre conscience de la portée de son engagement, en assurant une expression claire et complète de sa volonté ( ATF 125 III 131 consid. 5d p. 137 et les arrêts cités), était donc pleinement respectée. Dans ces conditions, il n'apparaît pas que la juridiction cantonale ait versé dans l'arbitraire en procédant à une interprétation téléologique de l' art. 72 al. 1 LN /VD, conforme à sa propre jurisprudence (JdT 1995 III p. 108 ss) et à celle du Tribunal fédéral, et cela même si l'interprétation littérale du droit cantonal pourrait éventuellement se révéler plus apte à réaliser le but de protection de la caution visé par l'exigence de la forme authentique dans d'autres circonstances de fait.</w:t>
      </w:r>
    </w:p>
    <w:p>
      <w:r>
        <w:rPr>
          <w:b/>
        </w:rPr>
        <w:t>E. 3.3</w:t>
      </w:r>
    </w:p>
    <w:p>
      <w:r>
        <w:t>En conséquence, le grief pris d'une application arbitraire de l' art. 72 LN /VD doit être écarté.</w:t>
      </w:r>
    </w:p>
    <w:p>
      <w:r>
        <w:rPr>
          <w:b/>
        </w:rPr>
        <w:t>E. 4</w:t>
      </w:r>
    </w:p>
    <w:p>
      <w:r>
        <w:t>Le reproche d'une violation de l' art. 30 al. 1 Cst. , respectivement de l'art. 6 § 1 CEDH , se confond avec celui de l'application arbitraire du droit cantonal examiné ci-dessus. Comme il n'a pas de portée propre, il doit être rejeté pour les mêmes motifs. Au surplus, le recourant a été jugé par des tribunaux établis par la loi, compétents ratione personae, loci, temporis et materiae, excluant tout tribunal d'exception, ou la mise en oeuvre de juges ad hoc ( ATF 129 V 196 , consid. 4.1, p. 198; 335 consid. 1.3.1, p. 338 et les arrêts cités).</w:t>
      </w:r>
    </w:p>
    <w:p>
      <w:r>
        <w:rPr>
          <w:b/>
        </w:rPr>
        <w:t>E. 5</w:t>
      </w:r>
    </w:p>
    <w:p>
      <w:r>
        <w:t>Le recourant qui succombe sera condamné au paiement d'un émolument de justice ainsi qu'à celui d'une indemnité de dépens en faveur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