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4P.23/2001 vom 17. Oktober 2001</w:t>
      </w:r>
    </w:p>
    <w:p>
      <w:r>
        <w:t>Bundesgericht, 2001-10-17, FR</w:t>
      </w:r>
    </w:p>
    <w:p>
      <w:r>
        <w:rPr>
          <w:b/>
        </w:rPr>
        <w:t xml:space="preserve">Quelle: </w:t>
      </w:r>
      <w:r>
        <w:t>https://mcp.opencaselaw.ch/entscheid/bger_4P.23_2001</w:t>
      </w:r>
    </w:p>
    <w:p>
      <w:r>
        <w:t>FR: TF 4P.23/2001 du 17 octobre 2001</w:t>
      </w:r>
    </w:p>
    <w:p>
      <w:r>
        <w:t>IT: TF 4P.23/2001 del 17 ottobre 2001</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w:t>
      </w:r>
    </w:p>
    <w:p>
      <w:r>
        <w:t>L'arrêt attaqué, qui est final, n'est susceptible d'aucun autre moyen de droit sur le plan fédéral ou cantonal, non seulement dans la mesure où la recourante invoque la violation directe d'un droit de rang constitutionnel, mais également en tant qu'elle critique la manière dont la cour cantonale a appliqué le droit français (cf. art. 43a al. 2 OJ a contrario). La règle de la subsidiarité du recours de droit public est ainsi respectée (art. 84 al. 2 et 86 al. 1 OJ).</w:t>
      </w:r>
    </w:p>
    <w:p>
      <w:r>
        <w:t>La recourante est personnellement touchée par la décision attaquée, qui l'a déboutée de sa conclusion en paiement, de sorte qu'elle a un intérêt personnel, actuel et juridiquement protégé à ce que cette décision n'ait pas été prise en violation de ses droits constitutionnels; en conséquence, elle a qualité pour recourir ( art. 88 OJ ).</w:t>
      </w:r>
    </w:p>
    <w:p>
      <w:r>
        <w:t>Interjeté en temps utile (art. 89 al. 1 et 34 al. 1 let. c OJ), dans la forme prévue par la loi ( art. 90 al. 1 OJ ), le recours est en principe recevable.</w:t>
      </w:r>
    </w:p>
    <w:p>
      <w:r>
        <w:t>b) Saisi d'un recours de droit public, le Tribunal fédéral n'examine que les griefs d'ordre constitutionnel invoqués et suffisamment motivés dans l'acte de recours ( ATF 127 I 38 consid. 3c; 126 III 524 consid. 1c, 534 consid. 1b; 125 I 492 consid. 1b p. 495).</w:t>
      </w:r>
    </w:p>
    <w:p>
      <w:r>
        <w:rPr>
          <w:b/>
        </w:rPr>
        <w:t>E. 2</w:t>
      </w:r>
    </w:p>
    <w:p>
      <w:r>
        <w:t>Sous le titre: "L'état de fait retenu par la Cour de justice; les erreurs et/ou omissions" (mémoire de recours, p. 12 à 19, ch. 1 à 17), la recourante allègue un certain nombre de faits que la cour cantonale aurait mal constatés ou ignorés. En argumentant ainsi, elle perd de vue qu'il n'appartient pas à la juridiction constitutionnelle de procéder à un complètement ou à une rectification des constatations de fait de l'autorité cantonale, contrairement à ce qui est le cas, dans certaines limites, pour la juridiction fédérale de réforme (cf. art. 63 al. 2 et 64 OJ ).</w:t>
      </w:r>
    </w:p>
    <w:p>
      <w:r>
        <w:t>Cela étant, s'agissant de l'état de fait retenu par l'autorité intimée, le Tribunal fédéral n'examinera que les critiques y relatives dûment formulées par la recourante dans le chapitre ad hoc de son acte de recours (p. 21 à 25).</w:t>
      </w:r>
    </w:p>
    <w:p>
      <w:r>
        <w:rPr>
          <w:b/>
        </w:rPr>
        <w:t>E. 3</w:t>
      </w:r>
    </w:p>
    <w:p>
      <w:r>
        <w:t>La recourante reproche, en premier lieu, à la Cour de justice d'avoir apprécié les preuves de manière arbitraire et d'avoir violé les règles du droit de procédure cantonal régissant la preuve.</w:t>
      </w:r>
    </w:p>
    <w:p>
      <w:r>
        <w:t>a) Selon la jurisprudence, l'arbitraire -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125 I 166 consid. 2a; 124 I 247 consid. 5 p. 250; 124 V 137 consid. 2b).</w:t>
      </w:r>
    </w:p>
    <w:p>
      <w:r>
        <w:t>Lorsqu'une partie recourante invoque l'arbitraire dans l'appréciation des preuves et l'établissement des faits, elle doit, en partant de la décision attaquée et en se référant avec précision à des moyens de preuve indiscutables, montrer en quoi consiste l'arbitraire. Il y a arbitraire dans ce domaine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w:t>
      </w:r>
    </w:p>
    <w:p>
      <w:r>
        <w:t>Celui qui se plaint de la violation arbitraire du droit cantonal doit indiquer avec précision quelle est la disposition cantonale qui aurait été violée et expliquer en quoi consiste l'arbitraire ( ATF 110 Ia 1 consid. 2a).</w:t>
      </w:r>
    </w:p>
    <w:p>
      <w:r>
        <w:t>b) aa) La cour cantonale se voit reprocher par la recourante d'avoir retenu arbitrairement qu'il n'était pas établi que cette dernière ait acquis de Y.________ les deux bas-reliefs litigieux, alors que cette acquisition résulterait indubitablement du contrat conclu le 22 mai 1987 entre les deux sociétés.</w:t>
      </w:r>
    </w:p>
    <w:p>
      <w:r>
        <w:t>Pareil reproche est dénué de fondement. Se basant sur le texte du passage précité du contrat en question, l'autorité intimée a considéré que la volonté des parties n'était pas de transférer à la recourante la propriété des objets inventoriés dans l'expertise D.________, qui mentionnait les bas-reliefs, mais de céder un nombre limité d'objets énumérés dans une liste établie par les cocontractants. Comme la recourante n'avait pas jugé utile de produire cette liste, la cour cantonale en a tiré la conclusion critiquée.</w:t>
      </w:r>
    </w:p>
    <w:p>
      <w:r>
        <w:t>Effectivement, il n'y avait rien d'insoutenable à tirer semblable conclusion sur le vu des termes utilisés par les cocontractants dans la convention du 22 mai 1987. Ceux-ci y font état de meubles "décrits, point par point, dans l'estimation établie ce jour par les soussignés, dressée à la suite de l'évaluation susmentionnée de M. D.________. .." (c'est le Tribunal fédéral qui souligne). De cette formulation, et singulièrement des passages soulignés, les juges cantonaux pouvaient déduire sans arbitraire que la vente mobilière portait sur les meubles spécifiés par les cocontractants à partir de l'expertise D.________ et non pas nécessairement sur tous les meubles mentionnés dans cette expertise. A supposer que le document censé avoir été établi par les cocontractants n'existât point en réalité, la recourante, à qui il incombait de prouver que la vente du mobilier incluait aussi les deux bas-reliefs, devrait se laisser opposer l'absence de preuve de ce fait pertinent, de même que si ce document existait mais qu'elle ait omis de le produire.</w:t>
      </w:r>
    </w:p>
    <w:p>
      <w:r>
        <w:t>Au demeurant, la constatation en cause apparaît d'autant moins insoutenable que, selon une autre constatation corroborante de la cour cantonale, Y.________, postérieurement à la conclusion de l'acte de vente, s'est comportée en propriétaire des bas-reliefs vis-à-vis des tiers et, notamment, du Musée du Louvre.</w:t>
      </w:r>
    </w:p>
    <w:p>
      <w:r>
        <w:t>bb) Selon la recourante, la Cour de justice aurait, en outre, méconnu gravement les art. 186 al. 1, 187 et 189 de la loi de procédure civile genevoise (LPC gen.), voire les dispositions équivalentes du Code civil français, en exigeant d'elle la preuve que le contrat du 22 mai 1987 portait aussi sur les bas-reliefs litigieux, alors même que l'intimé avait expressément admis que tel était bien le cas.</w:t>
      </w:r>
    </w:p>
    <w:p>
      <w:r>
        <w:t>Il est certes vrai qu'en procédure civile genevoise, le fait admis par la partie adverse ne doit plus être prouvé par celle qui l'allègue ( art. 186 al. 1 LPC gen.).</w:t>
      </w:r>
    </w:p>
    <w:p>
      <w:r>
        <w:t>La recourante voudrait voir une telle reconnaissance dans un passage de la réplique du 6 mai 1998, reproduit à la page 14 du mémoire de recours, où l'intimé plaide le caractère fictif du contrat du 22 mai 1987 ou sa nullité pour vice de forme.</w:t>
      </w:r>
    </w:p>
    <w:p>
      <w:r>
        <w:t>Elle en déduit que l'intimé a ainsi reconnu que ledit contrat visait bien les bas-reliefs. Or, il paraît déjà problématique d'inférer d'une argumentation juridique l'aveu d'un fait.</w:t>
      </w:r>
    </w:p>
    <w:p>
      <w:r>
        <w:t>C'est le lieu de rappeler que l'aveu ne peut porter que sur un fait ( art. 187 LPC gen.); le souci d'éviter toute confusion conduit d'ailleurs à s'en tenir strictement au texte légal et à ne reconnaître la valeur d'un aveu qu'à la déclaration qui porte clairement sur un fait (Bertossa/Gaillard/ Guyet/Schmidt, Commentaire de la loi de procédure civile du canton de Genève du 10 avril 1987, vol. II, n. 1 ad art. 187). Aussi n'y avait-il rien d'insoutenable, en l'occurrence, à ne pas assimiler à un aveu judiciaire du fait litigieux - i.e. le point de savoir si les bas-reliefs étaient visés par le contrat de vente du 22 mai 1987 - la thèse juridique soutenue par l'intimé, selon laquelle la propriété de ces choses n'avait de toute façon pas pu être transférée à la recourante, soit que ledit contrat fût fictif, soit qu'il ne respectât pas la forme requise. La cour cantonale avait d'autant moins de raison de qualifier d'aveu judiciaire le point de vue juridique adopté par l'intimé que ce dernier avait formulé, dans d'autres écritures, des allégations incompatibles avec son prétendu aveu. Ainsi, dans son mémoire de réponse déposé le 5 septembre 2000 en instance d'appel, l'intimé écrivait notamment ce qui suit (p. 5, ch. 16): "X.________ est venue, par la suite et sans pour autant en apporter la moindre preuve, prétendre qu'étaient compris dans le mobilier acquis, deux bas-reliefs. ..". Et plus loin (p. 9, C-1): "...</w:t>
      </w:r>
    </w:p>
    <w:p>
      <w:r>
        <w:t>X.________ n'a pas apporté la preuve que les bas-reliefs étaient compris dans le contrat passé le 22 mai 1987 avec Y.________ ...".</w:t>
      </w:r>
    </w:p>
    <w:p>
      <w:r>
        <w:t>Le moyen tiré de la violation arbitraire du droit de procédure cantonal ou du droit français correspondant se révèle, dès lors, manifestement infondé.</w:t>
      </w:r>
    </w:p>
    <w:p>
      <w:r>
        <w:rPr>
          <w:b/>
        </w:rPr>
        <w:t>E. 4</w:t>
      </w:r>
    </w:p>
    <w:p>
      <w:r>
        <w:t>La garantie en cas d'éviction ne peut être invoquée que pour les choses comprises dans le contrat de vente litigieux. En l'espèce, la Cour de justice a constaté, de manière non arbitraire, qu'il n'était pas établi que la convention signée le 22 mai 1987 par Y.________ et la recourante incluât les deux bas-reliefs. Elle a admis, également sans arbitraire, qu'il appartenait à la recourante de prouver ce fait et, par voie de conséquence, de supporter l'échec de sa preuve. Dans ces conditions, le Tribunal fédéral peut se dispenser d'examiner le grief de violation arbitraire du droit étranger dirigé contre l'argumentation subsidiaire relative aux conditions matérielles de l'action pour cause d'éviction.</w:t>
      </w:r>
    </w:p>
    <w:p>
      <w:r>
        <w:t>En effet, à supposer que cette argumentation soit arbitraire, le fait que l'argumentation principale ne l'est pas conduirait de toute façon au rejet du recours.</w:t>
      </w:r>
    </w:p>
    <w:p>
      <w:r>
        <w:rPr>
          <w:b/>
        </w:rPr>
        <w:t>E. 5</w:t>
      </w:r>
    </w:p>
    <w:p>
      <w:r>
        <w:t>Dans un dernier moyen, la recourante, invoquant la violation de son droit d'être entendue, fait grief à la Cour de justice d'avoir écarté, sans la moindre motivation, les conclusions qu'elle avait prises sur la base de l' art. 111 CO (porte-fort).</w:t>
      </w:r>
    </w:p>
    <w:p>
      <w:r>
        <w:t>a) La portée du droit d'être entendu et les modalités de sa mise en oeuvre sont tout d'abord déterminées par la législation cantonale, dont le Tribunal fédéral ne revoit l'application que sous l'angle de l'arbitraire. Lorsque la protection accordée par le droit cantonal est inférieure ou équivalente aux garanties minimales conférées par l' art. 29 al. 2 Cst. , dont le Tribunal fédéral vérifie librement le respect, le justiciable peut invoquer celles-ci directement ( ATF 126 I 15 consid. 2a p. 16 et les arrêts cités).</w:t>
      </w:r>
    </w:p>
    <w:p>
      <w:r>
        <w:t>En l'espèce, la recourante mentionne certes diverses dispositions du droit judiciaire genevois, mais elle ajoute que la législation cantonale ne fait que reprendre les exigences du droit fédéral. Par conséquent, c'est à la lumière de l' art. 29 al. 2 Cst. qu'il convient d'examiner son grief.</w:t>
      </w:r>
    </w:p>
    <w:p>
      <w:r>
        <w:t>b) Les parties ont le droit d'être entendues ( art. 29 al. 2 Cst. ). Selon la jurisprudence relative à l' art. 4 aCst. , applicable à l' art. 29 al. 2 Cst. , l'autorité doit indiquer dans son prononcé les motifs qui la conduisent à sa décision ( ATF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et les arrêts cités).</w:t>
      </w:r>
    </w:p>
    <w:p>
      <w:r>
        <w:t>On ne constate aucune violation de ces principes dans le cas particulier. Sans doute la Cour de justice ne cite-t-elle pas l' art. 111 CO dans son arrêt. Toutefois, elle souligne, à la page 4 in fine de celui-ci, que les parties, qui ont développé leurs moyens en plaidant le 24 novembre 2000, "se sont accordées pour dire que le droit français s'appliquait à tout le litige". Cette constatation lui permettait de faire l'économie de l'examen du cas au regard du droit suisse, étant donné que les parties l'avaient invitée à ne juger la cause que sous l'angle du droit français.</w:t>
      </w:r>
    </w:p>
    <w:p>
      <w:r>
        <w:t>Au reste, la recourante n'indique pas clairement, dans son recours de droit public, pour quelle raison la disposition du droit suisse régissant le porte-fort eût été applicable in casu, indépendamment de la législation française touchant la garantie en cas d'éviction, et le renvoi qu'elle y fait à sa demande du 3 octobre 1997 ne saurait remplacer une motivation en bonne et due forme de son grief.</w:t>
      </w:r>
    </w:p>
    <w:p>
      <w:r>
        <w:rPr>
          <w:b/>
        </w:rPr>
        <w:t>E. 6</w:t>
      </w:r>
    </w:p>
    <w:p>
      <w:r>
        <w:t>Tous les griefs articulés par la recourante tombant à faux, le recours formé par cette dernière ne peut qu'être rejeté. Les frais et dépens afférents à la procédure fédérale seront supportés par la recourante, qui succombe (art. 156 al. 1 et 159 al. 1 OJ). Quant à l'intimé, il sera indemnisé de ses dépens au moyen des sûretés qui ont été déposées par la recourante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