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4P.235/2001 vom 4. April 2002</w:t>
      </w:r>
    </w:p>
    <w:p>
      <w:r>
        <w:t>Bundesgericht, 2002-04-04, DE</w:t>
      </w:r>
    </w:p>
    <w:p>
      <w:r>
        <w:rPr>
          <w:b/>
        </w:rPr>
        <w:t xml:space="preserve">Quelle: </w:t>
      </w:r>
      <w:r>
        <w:t>https://mcp.opencaselaw.ch/entscheid/bger_4P.235_2001</w:t>
      </w:r>
    </w:p>
    <w:p>
      <w:r>
        <w:t>FR: TF 4P.235/2001 du 4 avril 2002</w:t>
      </w:r>
    </w:p>
    <w:p>
      <w:r>
        <w:t>IT: TF 4P.235/2001 del 4 aprile 2002</w:t>
      </w:r>
    </w:p>
    <w:p>
      <w:pPr>
        <w:pStyle w:val="Heading2"/>
      </w:pPr>
      <w:r>
        <w:t>Erwägungen</w:t>
      </w:r>
    </w:p>
    <w:p>
      <w:r>
        <w:rPr>
          <w:b/>
        </w:rPr>
        <w:t>E. 1</w:t>
      </w:r>
    </w:p>
    <w:p>
      <w:r>
        <w:t>a) Der angefochtene Schiedsentscheid wurde von einem Schiedsgericht mit Sitz in der Schweiz erlassen und betrifft eine internationale Streitigkeit, da eine Partei ihren Sitz in Deutschland hat. Die Parteien haben die Geltung der Art. 176 ff. IPRG nicht schriftlich ausgeschlossen.</w:t>
      </w:r>
    </w:p>
    <w:p>
      <w:r>
        <w:t>Die Voraussetzungen für die Anwendung des 12. Kapitels des IPRG sind somit gegeben.</w:t>
      </w:r>
    </w:p>
    <w:p>
      <w:r>
        <w:t>b) Art. 190 Abs. 2 IPRG zählt die gegen Entscheide internationaler Schiedsgerichte zulässigen Anfechtungsgründe abschliessend auf ( BGE 126 III 524 E. 1a S. 526, mit Hinweis).</w:t>
      </w:r>
    </w:p>
    <w:p>
      <w:r>
        <w:t>Die Anfechtung internationaler Schiedssprüche untersteht verfahrensrechtlich der Ordnung der staatsrechtlichen Beschwerde ( Art. 191 Abs. 1 IPRG ) und damit dem Rügeprinzip gemäss Art. 90 Abs. 1 lit. b OG . Das Bundesgericht tritt daher nur auf klar und detailliert erhobene und, soweit möglich, belegte Rügen ein ( BGE 122 I 70 E. 1c S. 73; 119 Ia 197 E. 1d S. 201). Zudem muss die Beschwerdeschrift die Begründung enthalten, welche nicht durch Verweise auf frühere Eingaben ersetzt werden kann ( BGE 115 Ia 27 E. 4a S. 30; Urteil des Bundesgerichtes 2P.243/2000 vom 14. März 2001, E. 1b/aa).</w:t>
      </w:r>
    </w:p>
    <w:p>
      <w:r>
        <w:rPr>
          <w:b/>
        </w:rPr>
        <w:t>E. 2</w:t>
      </w:r>
    </w:p>
    <w:p>
      <w:r>
        <w:t>a) Die Beschwerdeführerin rügt gemäss Art. 190 Abs. 2 lit. a IPRG , das Schiedsgericht sei vorschriftswidrig zusammengesetzt gewesen, weil der vorsitzende Schiedsrichter den Anschein der Befangenheit erweckt habe. Die Beschwerdeführerin habe daher Ablehnungsbegehren gestellt, welche vom Präsidialausschuss der Handelskammer Deutschland-Schweiz zu Unrecht abgelehnt worden seien.</w:t>
      </w:r>
    </w:p>
    <w:p>
      <w:r>
        <w:t>b) Diese Rüge ist zulässig, da das Bundesgericht zwar nicht die direkte jedoch die indirekte Überprüfung von Ablehnungsentscheiden privater Gremien im Verfahren auf Aufhebung des Schiedsspruches zulässt ( BGE 118 II 359 E. 3b; Urteil des Bundesgerichts 4P.292/1993 vom 30. Juni 1994, Bulletin ASA 1997, S. 99 ff. E. 4, S. 103 f.). Auf die Rüge, der Entscheid des Präsidialausschusses sei unter Verletzung von Verfahrensbestimmungen ergangen und nicht rechtsgenüglich mitgeteilt bzw. begründet worden, ist jedoch nicht einzutreten, weil damit nicht die rechtmässige Zusammensetzung des Schiedsgerichts in Frage gestellt wird und das eigentliche Schiedsverfahren nicht betroffen ist.</w:t>
      </w:r>
    </w:p>
    <w:p>
      <w:r>
        <w:t>c) Für die Ablehnung des vorsitzenden Schiedsrichters macht die Beschwerdeführerin geltend, das in den beiden Ablehnungsbegehren vom 22. Januar bzw. 1. Februar 2001 detailliert gerügte Verhalten des Vorsitzenden sei geeignet gewesen, den Anschein von Befangenheit zu erwecken. Es habe offensichtlich zu einer intolerablen, einseitigen Bevorzugung der Beschwerdegegnerin geführt, und dem unabhängigen Betrachter hätte sich der Verdacht aufgedrängt, sein primäres Ziel sei das Aushungern der Beschwerdeführerin gewesen.</w:t>
      </w:r>
    </w:p>
    <w:p>
      <w:r>
        <w:t>Insoweit kann auf die Beschwerde nicht eingetreten werden, weil die Beschwerdeführerin in der Beschwerdeschrift selbst nicht substanziiert darlegt, inwiefern der Vorsitzende die Gegenpartei bevorzugt bzw. das Verfahren ungebührlich verzögert haben soll (vgl. E. 1b hievor).</w:t>
      </w:r>
    </w:p>
    <w:p>
      <w:r>
        <w:t>d) Weiter führt die Beschwerdeführerin aus, sie habe bei der Handelskammer gerügt, der Verhandlungstermin vom 23. Februar 2001 sei entgegen der Vorschrift in Art. 32 SchO formlos angesetzt worden. Die Beschwerdeführerin lässt dabei ausser Acht, dass Art. 32 SchO, der eine Ladung durch eingeschriebenen Brief verlangt, sich auf die Hauptverhandlung bezieht und am 23. Februar eine Vorverhandlung stattfand.</w:t>
      </w:r>
    </w:p>
    <w:p>
      <w:r>
        <w:t>Diesbezüglich ist Art. 31 SchO massgebend, der keine entsprechende Formvorschrift enthält. Zudem können Verfahrens- oder andere Rechtsfehler, die einem Gericht unterlaufen, nach der Rechtsprechung den Anschein der Befangenheit nur begründen, wenn sie wiederholt begangen wurden oder so schwer wiegen, dass sie Amtspflichtverletzungen darstellen ( BGE 116 Ia 14 E. 5; 135 E. 3a). Inwiefern dies bezüglich einer möglicherweise nicht formgerechten Vorladung der Fall sein soll, wird von der Beschwerdeführerin nicht dargetan und ist auch nicht ersichtlich.</w:t>
      </w:r>
    </w:p>
    <w:p>
      <w:r>
        <w:t>e) Zudem bringt die Beschwerdeführerin vor, sie habe vor der Handelskammer geltend gemacht, das Schiedsgericht habe es unterlassen, ein nach Art. 43 Abs. 2 SchO gefordertes gesondertes verfahrensbezogenes Treuhandkonto zu errichten. Da sich der vorsitzende Schiedsrichter trotz mehrfacher Aufforderung der Beschwerdeführerin geweigert habe, ein solches Treuhandkonto zu errichten und die auf seinem persönlichen Inhaberkonto bei der Bank G.________ AG eingegangenen Kostenvorschüsse darauf zu überweisen, habe sich die Beschwerdeführerin gezwungen gesehen, überdies Strafanzeige wegen Verdachts der Unterschlagung des Betrags von Fr. 60'000.-- einzureichen.</w:t>
      </w:r>
    </w:p>
    <w:p>
      <w:r>
        <w:t>Es trifft zu, dass Art. 43 Abs. 2 SchO vorsieht, dass die Geschäftsstelle für alle Zahlungen (abgesehen von der Einschreibegebühr) ein gesondertes verfahrensbezogenes Treuhandkonto bei der Bank einrichtet und das Schiedsgericht in seinem Konstituierungsbeschluss vom 27. Mai 2000 anordnete, die Parteien hätten die Kostenvorschüsse auf das Klientengelderkonto des vorsitzenden Schiedsrichters einzuzahlen.</w:t>
      </w:r>
    </w:p>
    <w:p>
      <w:r>
        <w:t>Da diese vom Gesamtgericht getroffene Anordnung beide Parteien betraf und das Klientengelderkonto die Funktion eines Treuhandkontos übernahm, kann daraus nicht auf die Befangenheit des vorsitzenden Schiedsrichters geschlossen werden.</w:t>
      </w:r>
    </w:p>
    <w:p>
      <w:r>
        <w:t>Dies hat die Beschwerdeführerin ursprünglich auch nicht getan, zumal sie der ersten Zahlungsaufforderung nachgekommen ist, ohne diesbezüglich Vorbehalte anzubringen. Sie kann sich demnach nicht nachträglich darauf berufen, die fehlende Einrichtung eines gesonderten Treuhandkontos liesse auf die Befangenheit des vorsitzenden Schiedsrichters schliessen, da der Anspruch auf spätere Ablehnung verwirkt, wer Ablehnungsgründe nicht unverzüglich nach Entdeckung geltend macht ( BGE 126 III 249 E. 3c, 124 I 121 E. 2, 121 I 225 E. 3). Nach dem Gesagten erweist sich die Rüge der vorschriftswidrigen Zusammensetzung des Schiedsgerichts als unbegründet.</w:t>
      </w:r>
    </w:p>
    <w:p>
      <w:r>
        <w:rPr>
          <w:b/>
        </w:rPr>
        <w:t>E. 3</w:t>
      </w:r>
    </w:p>
    <w:p>
      <w:r>
        <w:t>Alsdann rügt die Beschwerdeführerin gemäss Art. 190 Abs. 2 lit. d IPRG , das Schiedsgericht habe ihr rechtliches Gehör verletzt.</w:t>
      </w:r>
    </w:p>
    <w:p>
      <w:r>
        <w:t>a) Zur Begründung macht die Beschwerdeführerin geltend, das Schiedsgericht habe die drei von ihr eingeholten Rechtsgutachten übergangen und sei blindlings der Argumentation der Beschwerdegegnerin gefolgt. Die Rüge ist unbegründet, da aus der blossen Tatsache, dass ein Gericht eingereichten Gutachten nicht folgt, nicht geschlossen werden kann, diese seien übergangen bzw. nicht beachtet worden.</w:t>
      </w:r>
    </w:p>
    <w:p>
      <w:r>
        <w:t>Dies kann im vorliegenden Fall zudem deshalb ausgeschlossen werden, da diese Gutachten im angefochtenen Entschied mehrfach erwähnt werden und sich das Schiedsgericht mit den darin enthaltenen Argumenten auseinander setzt.</w:t>
      </w:r>
    </w:p>
    <w:p>
      <w:r>
        <w:t>b) Weiter macht die Beschwerdeführerin geltend, ihr Äusserungsrecht sei beschränkt worden, indem ihr mehrmals ein "Maulkorb" verhängt worden sei. So sei mit Verfügung vom 5. November 2000 angeordnet worden, dass sich das Schiedsgericht hinsichtlich allfälliger weiterer Eingaben der Beschwerdeführerin vorbehalte, diese ganz oder zur Kürzung zurückzuweisen.</w:t>
      </w:r>
    </w:p>
    <w:p>
      <w:r>
        <w:t>Mit diesem Vorbehalt sollte offensichtlich eine Verfahrensverzögerung durch unnötig viele bzw. lange Eingaben der Beschwerdeführerin verhindert werden, was keine Verweigerung des rechtlichen Gehörs darstellt. Die Beschwerdeführerin macht auch nicht geltend, das Schiedsgericht habe in der Folge ihre Eingaben zurückgewiesen.</w:t>
      </w:r>
    </w:p>
    <w:p>
      <w:r>
        <w:t>c) Alsdann rügt die Beschwerdeführerin, das Schiedsgericht habe es trotz mehrfacher Anträge unterlassen, die Beschwerdegegnerin zum genauen Zeitpunkt der Betriebsveräusserung zu befragen und habe auf den angeblich unstreitig erst nach der ersten Kündigung erfolgten Aktienverkauf und auch darauf verwiesen, dass es im Zeitpunkt der ersten Kündigung angeblich unbestrittenermassen keine Verkaufsverhandlungen mehr gegeben habe.</w:t>
      </w:r>
    </w:p>
    <w:p>
      <w:r>
        <w:t>Die Beschwerdeführerin unterlässt es in diesem Zusammenhang, bezüglich der vom Schiedsgericht angeblich missachteten Anträge und Bestreitungen Belegstellen anzugeben, weshalb auf die Rüge mangels Erfüllung der Begründungsanforderungen nicht einzutreten ist (vgl. E. 1b hievor).</w:t>
      </w:r>
    </w:p>
    <w:p>
      <w:r>
        <w:t>d) Weiter macht die Beschwerdeführerin dem Sinne nach geltend, das Schiedsgericht habe ihr rechtliches Gehör verletzt, indem es bezüglich des Ausgleichsanspruchs auf die beweismässige Abklärung der weiteren strittigen Voraussetzungen verzichtet habe. Die Rüge ist unbegründet. Nachdem das Schiedsgericht die Grundlage des Ausgleichsanspruchs verneinte, sind die weiteren Voraussetzungen nicht mehr rechtserheblich, weshalb insoweit keine weiteren Abklärungen getroffen werden mussten.</w:t>
      </w:r>
    </w:p>
    <w:p>
      <w:r>
        <w:t>e) Die Beschwerdeführerin führt zudem an, das Schiedsgericht habe ihr insoweit das rechtliche Gehör verweigert, als es sie zum Beweisergebnis grundsätzlich nicht habe Stellung nehmen lassen. Dass das Schiedsgericht offensichtliche und überdies aktenkundige Unstimmigkeiten der Parteien in Bezug auf die Modalitäten und die zeitliche Einordnung der Betriebsveräusserung wie auch in Bezug auf die Begründetheit der Forderungen für die Auftragsabwicklung entweder als unbestritten oder als unsubstanziiert qualifiziert habe, sei für die Beschwerdeführerin derart überraschend gewesen, dass ihr hätte Gelegenheit zur Stellungnahme eingeräumt werden müssen.</w:t>
      </w:r>
    </w:p>
    <w:p>
      <w:r>
        <w:t>Das rechtliche Gehör umfasst den Anspruch, an der Erhebung wesentlicher Beweise entweder mitzuwirken oder sich zumindest zum Beweisergebnis zu äussern, wenn dieses geeignet ist, den Entscheid zu beeinflussen ( BGE 126 I 7 E. 2b S. 10 f., 97 E. 2 S. 102 f.; 118 Ia 17 E. 1c S. 19, je mit Hinweisen). Mit dem Begriff des Beweisergebnisses ist jedoch entgegen der Annahme der Beschwerdeführerin nicht das Ergebnis der Beweiswürdigung des Gerichts, sondern das Ergebnis der Beweiserhebung zu verstehen. So müssen sich die Parteien vor der Urteilsfällung zum Beispiel zu den relevanten Dokumenten, Expertisen und Zeugeneinvernahmen äussern können.</w:t>
      </w:r>
    </w:p>
    <w:p>
      <w:r>
        <w:t>Dass der Beschwerdeführerin dieser Anspruch nicht gewährt worden sei, wird von ihr nicht behauptet, weshalb insoweit keine Verletzung rechtlichen Gehörs vorliegt.</w:t>
      </w:r>
    </w:p>
    <w:p>
      <w:r>
        <w:t>f) Weiter rügt die Beschwerdeführerin sinngemäss, das Schiedsgericht habe ihr rechtliches Gehör verletzt, indem es im Schreiben vom 18. Januar 2001 bezüglich eines Fragenkatalogs angegeben habe, das Schiedsgericht werde unabhängig von den Antworten von den bisherigen Vorbringen der Parteien ausgehen. Damit habe das Schiedsgericht in unzulässiger Weise die Urteilsfindung vorweggenommen.</w:t>
      </w:r>
    </w:p>
    <w:p>
      <w:r>
        <w:t>Aus dem Zusammenhang der von der Beschwerdeführerin beanstandeten Angabe ergibt sich, dass das Schiedsgericht damit den Parteien zusichern wollte, dass es aus der Beantwortung der Fragen zu bestimmten Ansprüchen nicht auf deren Anerkennung schliessen werde. Inwiefern dadurch das rechtliche Gehör der Beschwerdeführerin verletzt werden soll, wird von ihr nicht dargetan und ist auch nicht ersichtlich.</w:t>
      </w:r>
    </w:p>
    <w:p>
      <w:r>
        <w:rPr>
          <w:b/>
        </w:rPr>
        <w:t>E. 4</w:t>
      </w:r>
    </w:p>
    <w:p>
      <w:r>
        <w:t>Weiter macht die Beschwerdeführerin geltend, der Grundsatz der Gleichbehandlung gemäss Art. 190 Abs. 2 lit. d IPRG sei verletzt worden. So sei restlos allen Fristerstreckungsgesuchen der Beschwerdegegnerin stattgegeben worden, während das einzige Verlängerungsgesuch der Beschwerdeführerin vom 11. April 2001 in Missachtung von Art. 24 Abs. 2 SchO wie auch unter dem zu diesem Zeitpunkt geradezu lächerlich erscheinenden Vorwand der Verfahrensbeschleunigung abgewiesen worden sei. Damit habe das Schiedsgericht den Grundsatz verletzt, dass Fristverlängerungen bei vergleichbaren Umständen beiden Parteien zu gewähren seien.</w:t>
      </w:r>
    </w:p>
    <w:p>
      <w:r>
        <w:t>Das Fristerstreckungsgesuch der Beschwerdeführerin vom 11. April 2001 betraf die Frist zur Einzahlung des Kostenvorschusses.</w:t>
      </w:r>
    </w:p>
    <w:p>
      <w:r>
        <w:t>Da die Beschwerdeführerin nicht darlegt, dass der Beschwerdegegnerin Fristen zur Einzahlung der Kostenvorschüsse verlängert wurden, ist insoweit eine Ungleichbehandlung mangels vergleichbarer Umstände zu verneinen.</w:t>
      </w:r>
    </w:p>
    <w:p>
      <w:r>
        <w:t>Alsdann macht die Beschwerdeführerin geltend, sie sei ungleich behandelt worden, weil ihr im Gegensatz zur Beschwerdegegnerin mehrmals ein sogenannter "Maulkorb" verhängt worden sei. So sei in der Verfügung vom 5. September 2000 angeordnet worden, dass sich das Schiedsgericht hinsichtlich allfälliger weiterer Eingaben der Beschwerdeführerin vorbehalte, diese ganz oder zur Kürzung zurückzuweisen.</w:t>
      </w:r>
    </w:p>
    <w:p>
      <w:r>
        <w:t>Inwiefern die Beschwerdegegnerin Anlass zu einer entsprechenden Mahnung geboten hätte, legt die Beschwerdeführerin nicht dar, weshalb auch in dieser Hinsicht eine Ungleichbehandlung zu verneinen ist.</w:t>
      </w:r>
    </w:p>
    <w:p>
      <w:r>
        <w:rPr>
          <w:b/>
        </w:rPr>
        <w:t>E. 5</w:t>
      </w:r>
    </w:p>
    <w:p>
      <w:r>
        <w:t>Die Beschwerdeführerin rügt, der universelle formelle Ordre public gemäss Art. 190 Abs. 2 lit. e IPRG sei verletzt worden. Zur Begründung macht die Beschwerdeführerin die Missachtung von Verfahrensbestimmungen geltend, aus welchen sie bereits auf die Verletzung der Grundsätze der Unabhängigkeit der Schiedsrichter, der Gleichbehandlung der Parteien und des rechtlichen Gehörs geschlossen hat. Eine Verletzung dieser Grundsätze ist jedoch gemäss den vorstehenden Erwägungen zu verneinen. Welche darüber hinausgehenden allgemein anerkannten fundamentalen Verfahrensgrundsätze das Schiedsgericht missachtet haben soll, legt die Beschwerdeführerin nicht dar. Auf die Rüge der Verletzung des formellen Ordre public ist demnach wegen ungenügender Begründung nicht einzutreten.</w:t>
      </w:r>
    </w:p>
    <w:p>
      <w:r>
        <w:rPr>
          <w:b/>
        </w:rPr>
        <w:t>E. 6</w:t>
      </w:r>
    </w:p>
    <w:p>
      <w:r>
        <w:t>Schliesslich macht die Beschwerdeführerin unter dem Titel "Fazit" sinngemäss geltend, der Ordre public gemäss Art. 190 Abs. 2 lit. e IPRG sei verletzt worden, da das Schiedsgericht davon ausgegangen sei, der zweite Kündigungsgrund habe mangels Erfüllung im Zeitpunkt der ersten Kündigung keine weitere Wirkung entfalten können. Diese Rechtsauffassung fände weder in der Rechtsprechung des Bundesgerichtshofs oder der deutschen Obergerichte, noch in der Literatur eine Stütze, was mit den Gutachten der sachverständigen Hochschulprofessoren deutlich gemacht worden sei. Da der Verweis auf früher eingereichte Gutachten eine substanziierte Begründung in der Beschwerdeschrift nicht ersetzen kann, ist auf diese Rüge mangels Erfüllung der Begründungsanforderungen nicht einzutreten (vgl. E. 1b hievor und BGE 126 I 95 E. 4b).</w:t>
      </w:r>
    </w:p>
    <w:p>
      <w:r>
        <w:rPr>
          <w:b/>
        </w:rPr>
        <w:t>E. 7</w:t>
      </w:r>
    </w:p>
    <w:p>
      <w:r>
        <w:t>Nach dem Gesagten ist die Beschwerde abzuweisen, soweit darauf einzutreten ist. Bei diesem Verfahrensausgang wird die Beschwerdeführerin kosten- und entschädigungspflichtig.</w:t>
      </w:r>
    </w:p>
    <w:p>
      <w:r>
        <w:rPr>
          <w:b/>
        </w:rPr>
        <w:t>E. 8</w:t>
      </w:r>
    </w:p>
    <w:p>
      <w:r>
        <w:t>Anzumerken ist, dass die Beschwerdegegnerin in ihrer Beschwerdeantwort unterstellt, die Beschwerdeführerin leide unter Verfolgungswahn. Diese unbelegte Unterstellung, welche sich wohl auf die Organe der Beschwerdeführerin bezieht und nichts zur Sache beiträgt, ist als ungehörig zurückzuweisen.</w:t>
      </w:r>
    </w:p>
    <w:p>
      <w:r>
        <w:t>Im Wiederholungsfall wird der Anwalt der Beschwerdegegnerin mit einem Verweis oder einer Ordnungsbusse zu rechnen haben ( Art. 31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