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4P.22/2004 vom 6. Oktober 2004</w:t>
      </w:r>
    </w:p>
    <w:p>
      <w:r>
        <w:t>Bundesgericht, 2004-10-06, FR</w:t>
      </w:r>
    </w:p>
    <w:p>
      <w:r>
        <w:rPr>
          <w:b/>
        </w:rPr>
        <w:t xml:space="preserve">Quelle: </w:t>
      </w:r>
      <w:r>
        <w:t>https://mcp.opencaselaw.ch/entscheid/bger_4P.22_2004</w:t>
      </w:r>
    </w:p>
    <w:p>
      <w:r>
        <w:t>FR: TF 4P.22/2004 du 6 octobre 2004</w:t>
      </w:r>
    </w:p>
    <w:p>
      <w:r>
        <w:t>IT: TF 4P.22/2004 del 6 ottobre 2004</w:t>
      </w:r>
    </w:p>
    <w:p>
      <w:pPr>
        <w:pStyle w:val="Heading2"/>
      </w:pPr>
      <w:r>
        <w:t>Erwägungen</w:t>
      </w:r>
    </w:p>
    <w:p>
      <w:r>
        <w:rPr>
          <w:b/>
        </w:rPr>
        <w:t>E. 1</w:t>
      </w:r>
    </w:p>
    <w:p>
      <w:r>
        <w:t>Conformément à la règle de l' art. 57 al. 5 OJ , il convient en l'espèce de traiter le recours de droit public avant le recours en réforme.</w:t>
      </w:r>
    </w:p>
    <w:p>
      <w:r>
        <w:rPr>
          <w:b/>
        </w:rPr>
        <w:t>E. 2</w:t>
      </w:r>
    </w:p>
    <w:p>
      <w:r>
        <w:t>Le Tribunal fédéral examine d'office et librement la recevabilité des recours qui lui sont soumis ( ATF 130 II 65 consid. 1, 321 consid. 1).</w:t>
      </w:r>
    </w:p>
    <w:p>
      <w:r>
        <w:rPr>
          <w:b/>
        </w:rPr>
        <w:t>E. 2.1</w:t>
      </w:r>
    </w:p>
    <w:p>
      <w:r>
        <w:t>Le recours de droit public au Tribunal fédéral est ouvert pour violation des droits constitutionnels des citoyens. La recourante est personnellement touchée par la décision entreprise, qui la déboute entièrement de ses conclusions en paiement, de sorte qu'elle a un intérêt personnel, actuel et juridiquement protégé à ce que cette décision n'ait pas été adoptée en violation de ses droits constitutionnels. L'acte de recours a été déposé en temps utile et dans la forme prévue par la loi. Le recours est ainsi recevable au regard des art. 34 al. 1 let . c, 84 al. 1 let. a et al. 2, 88, 89 al. 1 et 90 al. 1 OJ. Sa recevabilité pose en revanche problème sous l'angle de l' art. 86 al. 1 OJ .</w:t>
      </w:r>
    </w:p>
    <w:p>
      <w:r>
        <w:rPr>
          <w:b/>
        </w:rPr>
        <w:t>E. 2.2</w:t>
      </w:r>
    </w:p>
    <w:p>
      <w:r>
        <w:t>Aux termes de l' art. 86 al. 1 OJ , le recours de droit public n'est recevable qu'à l'encontre des décisions prises en dernière instance cantonale. Cette disposition signifie que les griefs soulevés devant le Tribunal fédéral ne doivent pas pouvoir être soumis à une autorité cantonale par la voie d'un recours ordinaire et extraordinaire ( ATF 126 I 257 consid. 1a; 119 Ia 421 consid. 2b p. 422).</w:t>
      </w:r>
    </w:p>
    <w:p>
      <w:r>
        <w:t>Le Tribunal fédéral a jugé qu'en procédure civile vaudoise, le grief tiré de l'appréciation arbitraire des preuves pouvait faire l'objet du recours en nullité pour violation des règles essentielles de la procédure, instauré par l' art. 444 al. 1 ch. 3 CPC /VD ( ATF 126 I 257 consid. 1b, confirmé récemment in arrêt 4P.146/2003 du 27 octobre 2003 consid. 3).</w:t>
      </w:r>
    </w:p>
    <w:p>
      <w:r>
        <w:t>Pour respecter la règle de l'épuisement préalable des instances cantonales ancrée à l' art. 86 al. 1 OJ , la recourante devait ainsi soumettre ses griefs d'arbitraire dans l'appréciation des preuves à la Chambre des recours du Tribunal cantonal vaudois. C'est d'ailleurs ce qu'elle a fait le 12 janvier 2004, tout en déposant également, à l'encontre du jugement de la Cour civile du 21 juillet 2003, un recours de droit public au Tribunal fédéral "afin de sauvegarder le délai". A réception de l'arrêt de la Chambre des recours du 3 mars 2004, il lui incombait toutefois de retirer son recours de droit public du 28 janvier 2004 et d'en déposer un nouveau dirigé contre l'arrêt rendu par la dernière instance cantonale. Faute pour elle d'avoir procédé de la sorte, elle n'a pas satisfait aux exigences découlant de l' art. 86 al. 1 OJ et son grief d'appréciation arbitraire des preuves est irrecevable.</w:t>
      </w:r>
    </w:p>
    <w:p>
      <w:r>
        <w:t>Cela étant, la question de savoir s'il en va de même du grief tiré de la violation de l' art. 29 al. 1 Cst. en tant qu'il prohibe le formalisme excessif, sur lequel la Chambre des recours du Tribunal cantonal vaudois est en l'occurrence entrée en matière dans le cadre du recours en nullité cantonal déposé par la recourante, peut demeurer indécise en l'espèce, dès lors que celui-ci doit de toute façon être rejeté pour les motifs suivants.</w:t>
      </w:r>
    </w:p>
    <w:p>
      <w:r>
        <w:rPr>
          <w:b/>
        </w:rPr>
        <w:t>E. 3.1</w:t>
      </w:r>
    </w:p>
    <w:p>
      <w:r>
        <w:t>Il est de jurisprudence que les formes procédurales sont nécessaires à la mise en oeuvre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découlant de l' art. 29 al. 1 Cst. ( ATF 114 Ia 34 consid. 3). Il y a formalisme excessif seulement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soit dans la sanction qui lui est attachée. Le Tribunal fédéral examine librement ce grief, non sans accorder une importance déterminante aux circonstances particulières du cas (cf. ATF 130 V 177 consid. 5.4.1 p. 183 s.; 128 II 139 consid. 2a; 127 I 31 consid 2a/bb).</w:t>
      </w:r>
    </w:p>
    <w:p>
      <w:r>
        <w:rPr>
          <w:b/>
        </w:rPr>
        <w:t>E. 3.2</w:t>
      </w:r>
    </w:p>
    <w:p>
      <w:r>
        <w:t>La recourante soutient en substance que, sur la base de son allégation et des pièces qu'elle a produites, il était aisé de déduire le montant du salaire sur lequel s'est calculée la commission qui lui était due. Selon elle, la Cour civile aurait fait preuve d'un formalisme excessif en disant que les parties n'ont pas allégué et établi le salaire de la personne engagée par le seul fait que le montant de 150'000 fr. ne figure pas dans la demande. Elle aurait empêché de manière insoutenable la réalisation du droit matériel, soit la reconnaissance de l'intimée en tant que débitrice de la recourante, violant ainsi les art. 29 Cst. et 4 CPC/VD, ce d'autant plus que l'intimée n'aurait jamais contesté le montant de la note d'honoraires.</w:t>
      </w:r>
    </w:p>
    <w:p>
      <w:r>
        <w:rPr>
          <w:b/>
        </w:rPr>
        <w:t>E. 3.3</w:t>
      </w:r>
    </w:p>
    <w:p>
      <w:r>
        <w:t>L' art. 4 CPC /VD, applicable en procédure ordinaire devant la Cour civile ( art. 257 CPC /VD; Poudret/Haldy/Tappy, Procédure civile vaudoise, 3ème éd., Lausanne 2002, n. 1 ad art. 4 CPC /VD), dispose que le juge ne peut fonder son jugement sur d'autres faits que ceux qui ont été allégués dans l'instance et qui ont été soit admis par les parties, soit établis au cours de l'instruction selon les formes légales (al. 1). Toutefois, il peut tenir compte de faits notoires, non particuliers à la cause, ainsi que des faits patents, implicitement admis par les parties et non allégués par une inadvertance manifeste. En outre, il peut tenir compte des faits révélés par une expertise écrite (al. 2).</w:t>
      </w:r>
    </w:p>
    <w:p>
      <w:r>
        <w:t>Alors que plusieurs lois cantonales de procédure, à l'instar de l' art. 3 al. 2 PCF , tempèrent cette règle en chargeant le juge d'inviter les parties à combler les lacunes de leurs allégations, le législateur vaudois a clairement écarté une telle intervention et laissé aux parties la responsabilité d'articuler complètement les faits, les seuls tempéraments au principe de libre allégation étant ceux prévus à l'al. 2 (Poudret/Haldy/Tappy, op. cit., n. 1 ad art. 4 CPC /VD et la référence citée). Le juge ne saurait tirer des pièces produites des éléments de fait étrangers aux allégués des parties (Poudret/Haldy/Tappy, op. cit., n. 2 ad art. 4 CPC /VD et les références citées). La règle de l' art. 4 CPC /VD n'interdit pas au juge d'apprécier les faits régulièrement allégués et établis et d'en tirer des déductions ou appréciations, alors même que celles-ci ne seraient pas elles-mêmes alléguées par les parties (Poudret/Haldy/Tappy, op. cit., n. 4 ad art. 4 CPC /VD et les références citées).</w:t>
      </w:r>
    </w:p>
    <w:p>
      <w:r>
        <w:rPr>
          <w:b/>
        </w:rPr>
        <w:t>E. 3.4</w:t>
      </w:r>
    </w:p>
    <w:p>
      <w:r>
        <w:t>En l'espèce, la recourante n'a pas allégué le salaire de la personne engagée. Force est d'admettre que, dans ces circonstances, la Cour civile n'avait d'autre choix que d'appliquer l' art. 4 CPC /VD, dont la teneur est claire, et, constatant le défaut d'allégation, d'en conclure qu'il manquait un élément déterminant pour le calcul du salaire. Dès lors qu'il n'y avait précisément pas d'allégation, les déductions ou appréciations n'entraient pas en ligne de compte. De même, le fait que, selon la recourante, l'intimée aurait admis le montant de la note d'honoraires, ce que celle-ci conteste toutefois, ne pourrait pas davantage pallier le défaut d'allégation. L'on ne voit ainsi pas en quoi la cour cantonale aurait fait montre de formalisme excessif en appliquant strictement l' art. 4 CPC /VD. A supposer recevable, le grief de la recourante ne peut ainsi qu'être rejeté.</w:t>
      </w:r>
    </w:p>
    <w:p>
      <w:r>
        <w:t>Les considérations qui précèdent imposent le rejet du recours, dans la mesure de sa recevabilité.</w:t>
      </w:r>
    </w:p>
    <w:p>
      <w:r>
        <w:rPr>
          <w:b/>
        </w:rPr>
        <w:t>E. 4</w:t>
      </w:r>
    </w:p>
    <w:p>
      <w:r>
        <w:t>Compte tenu de l'issue du litige, les frais et dépens seront mis à la charge de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