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4P.21/2001 vom 21. Mai 2001</w:t>
      </w:r>
    </w:p>
    <w:p>
      <w:r>
        <w:t>Bundesgericht, 2001-05-21, FR</w:t>
      </w:r>
    </w:p>
    <w:p>
      <w:r>
        <w:rPr>
          <w:b/>
        </w:rPr>
        <w:t xml:space="preserve">Quelle: </w:t>
      </w:r>
      <w:r>
        <w:t>https://mcp.opencaselaw.ch/entscheid/bger_4P.21_2001</w:t>
      </w:r>
    </w:p>
    <w:p>
      <w:r>
        <w:t>FR: TF 4P.21/2001 du 21 mai 2001</w:t>
      </w:r>
    </w:p>
    <w:p>
      <w:r>
        <w:t>IT: TF 4P.21/2001 del 21 maggio 2001</w:t>
      </w:r>
    </w:p>
    <w:p>
      <w:pPr>
        <w:pStyle w:val="Heading2"/>
      </w:pPr>
      <w:r>
        <w:t>Regeste</w:t>
      </w:r>
    </w:p>
    <w:p>
      <w:r>
        <w:t>Procédure civile</w:t>
      </w:r>
    </w:p>
    <w:p>
      <w:pPr>
        <w:pStyle w:val="Heading2"/>
      </w:pPr>
      <w:r>
        <w:t>Erwägungen</w:t>
      </w:r>
    </w:p>
    <w:p>
      <w:r>
        <w:rPr>
          <w:b/>
        </w:rPr>
        <w:t>E. 1</w:t>
      </w:r>
    </w:p>
    <w:p>
      <w:r>
        <w:t>Par lettre du 24 janvier 2001, les recourants ont retiré le recours de droit public (cause 4P.23/2000) dirigé contre l'arrêt rendu le 17 décembre 1999. Il doit leur en être donné acte, l'affaire étant ainsi rayée du rôle. Quant au recours en réforme déposé parallèlement (cause 4C.43/2000), il ne peut pas être examiné jusqu'à droit connu sur la demande en révision cantonale ( art. 57 al. 1 OJ ). Il doit donc être statué en premier lieu sur le recours de droit public (cause 4P.21/2001) dirigé contre l'arrêt rendu le 4 décembre 2000 sur la demande de révision.</w:t>
      </w:r>
    </w:p>
    <w:p>
      <w:r>
        <w:rPr>
          <w:b/>
        </w:rPr>
        <w:t>E. 2</w:t>
      </w:r>
    </w:p>
    <w:p>
      <w:r>
        <w:t>a) Le recours de droit public au Tribunal fédéral est ouvert contre une décision cantonale pour violation des droits constitutionnels des citoyens ( art. 84 al. 1 let. a OJ ). Il n'est ouvert - sous réserve des hypothèses de l' art. 87 OJ - que contre une décision finale. En matière de recours de droit public, il faut considérer comme une décision finale celle qui met un point final à la procédure, qu'il s'agisse d'une décision sur le fond ou d'une décision qui clôt l'affaire pour un motif tiré des règles de procédure ( ATF 123 I 325 consid. 3b et les arrêts cités). Il est manifeste en l'espèce que la décision attaquée ne met pas un terme à la procédure, puisque celle-ci va se poursuivre en première instance. Lorsque la décision attaquée n'est pas finale, le recours de droit public n'est ouvert que dans les hypothèses visées par l' art. 87 OJ . Comme la décision attaquée ne concerne pas la compétence ou une demande de récusation (cf. art. 87 al. 1 OJ ), le recours n'est recevable que si la décision peut causer un préjudice irréparable (cf. art. 87 al. 2 OJ ). L'allongement et le renchérissement de la procédure ne constituent pas un préjudice irréparable ( ATF 122 I 39 consid. 1a/bb; 116 Ia 442 consid. 1c). Le recours n'apparaît donc pas recevable sous cet angle. En statuant sur les conclusions en constatation de droit et sur une partie des prétentions pécuniaires litigieuses, la cour cantonale a cependant rendu une décision partielle, qui ouvre la voie du recours en réforme déposé parallèlement (cf. ATF 124 III 406 consid. 1a; 123 III 140 consid. 2a; 117 II 349 consid. 2a). Dans une telle situation, il faut considérer que le recours de droit public est également ouvert par attraction, puisque ce recours doit en principe être examiné en premier lieu et qu'il faut éviter que le Tribunal fédéral n'ait à statuer sur le recours en réforme en se fondant sur des bases qui pourraient encore être remises en cause par la voie d'un recours de droit public ( ATF 117 II 349 consid. 2b; 108 Ia 203 consid. 1). b) L'arrêt attaqué n'est susceptible d'aucun autre moyen de droit sur le plan cantonal ou fédéral dans la mesure où les recourants invoquent la violation directe d'un droit de rang constitutionnel, de sorte que la règle de la subsidiarité du recours de droit public est respectée (art. 84 al. 2 et 86 al. 1 OJ). Les recourants sont personnellement touchés par la décision attaquée, qui porte sur une condamnation pécuniaire à leur encontre, de sorte qu'ils ont un intérêt personnel, actuel et juridiquement protégé à ce que cette décision n'ait pas été prise en violation de leurs droits constitutionnels; en conséquence, ils ont qualité pour recourir ( art. 88 OJ ). Interjeté en temps utile (art. 89 al. 1 et 34 al. 1 let. c OJ), dans la forme prévue par la loi ( art. 90 al. 1 OJ ), le recours est en principe recevable. Sous réserve d'exceptions non réalisées en l'espèce, le recours de droit public n'est qu'une voie de cassation et ne peut tendre qu'à l'annulation de la décision attaquée ( ATF 127 III 279 consid. 1b; 127 II 1 consid. 2c). c) Saisi d'un recours de droit public, le Tribunal fédéral n'examine que les griefs d'ordre constitutionnel invoqués et suffisamment motivés dans l'acte de recours ( art. 90 al. 1 let. b OJ ; ATF 127 III 279 consid. 1c; 126 III 534 consid. 1b).</w:t>
      </w:r>
    </w:p>
    <w:p>
      <w:r>
        <w:rPr>
          <w:b/>
        </w:rPr>
        <w:t>E. 3</w:t>
      </w:r>
    </w:p>
    <w:p>
      <w:r>
        <w:t>a) En l'espèce, les recourants invoquent l'interdiction de l'arbitraire et le droit d'être entendu. aa)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 bb) La jurisprudence a déduit du droit d'être entendu, garanti par l' art. 29 al. 2 Cst. , en particulier le droit pour le justiciable de s'expliquer avant qu'une décision ne soit prise à son détriment, celui de fournir des preuves quant au fait de nature à influer sur le sort de la décision, celui d'avoir accès au dossier, celui de participer à l'administration des preuves, d'en prendre connaissance et de se déterminer à leur propos ( ATF 126 I 15 consid. 2a; 124 I 49 consid. 3a, 241 consid. 2; 124 V 180 consid. 1a). b) aa) Selon l'art. 154 de la loi genevoise de procédure civile, il y a lieu à révision d'un jugement "s'il a été prononcé sur choses non demandées" (let. b) et "s'il a été adjugé plus qu'il n'a été demandé" (let. c). Selon la doctrine cantonale, les conclusions prises par les parties délimitent, sous réserve d'une règle contraire du droit fédéral, la mission du juge. Celui-ci ne peut s'en écarter; il peut cependant, sans dénaturer les prétentions d'une partie, interpréter les conclusions qui lui ont été soumises et par là même préciser l'objet du débat lorsque celui-ci a été maladroitement exprimé (Bertossa/Gaillard/Guyet/Schmidt, Commentaire de la loi de procédure civile du canton de Genève du 10 avril 1987, n. 10 ad art. 154 let. b et c LPC gen.). Cette opinion est conforme au principe communément admis en droit suisse selon lequel les manifestations de volonté doivent être interprétées en recherchant l'intention réelle, sans s'arrêter à des expressions ou dénominations inexactes qui ont pu être employées (cf. art. 18 al. 1 CO ). En estimant, conformément à la doctrine et aux principes généraux, que les conclusions prises devaient être interprétées, la cour cantonale n'a pas appliqué le droit cantonal de manière arbitraire. bb) Il ressort clairement de la procédure que les parties étaient en litige notamment sur la détermination du bailleur. Les recourants soutenaient que leur seule cocontractante était B.________, tandis que les intimées soutenaient que X.________ S.A. était la cocontractante pour ce qui concerne la redevance de gérance. L'action en constatation de droit avait précisément pour objet de trancher cette question. Le litige ne se limitait cependant pas à ce seul problème. Les intimées ont également pris des conclusions en paiement contre les recourants. La question litigieuse était donc également de déterminer quelle était la somme éventuellement due à la bailleresse, que celle-ci soit B.________ ou X.________ S.A. Dès lors qu'elles soutenaient que la créancière était X.________ S.A., les intimées ont pris des conclusions dans ce sens. L'identité de la créancière dépendait cependant de la question préalable, qui était de savoir si la bailleresse était B.________ ou X.________ S.A. On en déduit évidemment que si la cour cantonale ne devait pas partager l'opinion des intimées sur ce point et admettre que la bailleresse était B.________, c'est à celle-ci que les sommes seraient dues. On ne voit vraiment pas pourquoi, dans l'hypothèse où la cocontractante serait B.________, les deux intimées (demanderesses sur le fond) renonceraient à toute prétention pécuniaire contre leur partie adverse. La cour cantonale a donc interprété les conclusions d'une manière qui était logique dans ce contexte, de sorte que sa décision échappe au grief d'arbitraire. cc) Quant au droit d'être entendu, les recourants savaient que les questions litigieuses portaient notamment sur la détermination du bailleur et sur le montant qui lui était éventuellement dû. Il leur incombait sans conteste d'envisager que la cour cantonale considère que B.________ était la cocontractante et, par voie de conséquence, l'éventuelle créancière des sommes réclamées. Les recourants ont pu s'exprimer sans aucune réserve sur les questions qui divisaient les parties, à savoir déterminer l'identité de la cocontractante (B.________ ou X.________ S.A.) et fixer la somme due, le cas échéant, à la bailleresse (que celle-ci soit B.________ ou X.________ S.A.). Ils devaient évidemment compter avec l'éventualité que ce soit B.________ qui soit retenue comme créancière. Dans une telle situation, on ne peut pas dire que la cour cantonale a connu d'une prétention sur laquelle les parties n'ont pas eu l'occasion de s'exprimer en fait et en droit (cf. ATF 120 II 172 consid. 3a). Il n'y a pas trace d'une violation du droit d'être entendu.</w:t>
      </w:r>
    </w:p>
    <w:p>
      <w:r>
        <w:rPr>
          <w:b/>
        </w:rPr>
        <w:t>E. 4</w:t>
      </w:r>
    </w:p>
    <w:p>
      <w:r>
        <w:t>Le recours de droit public formé contre l'arrêt cantonal du 4 décembre 2000 doit être rejeté. Vu l'issue de la querelle, les frais et dépens seront mis solidairement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