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4P.211/2002 vom 18. Februar 2003</w:t>
      </w:r>
    </w:p>
    <w:p>
      <w:r>
        <w:t>Bundesgericht, 2003-02-18, DE</w:t>
      </w:r>
    </w:p>
    <w:p>
      <w:r>
        <w:rPr>
          <w:b/>
        </w:rPr>
        <w:t xml:space="preserve">Quelle: </w:t>
      </w:r>
      <w:r>
        <w:t>https://mcp.opencaselaw.ch/entscheid/bger_4P.211_2002</w:t>
      </w:r>
    </w:p>
    <w:p>
      <w:r>
        <w:t>FR: TF 4P.211/2002 du 18 février 2003</w:t>
      </w:r>
    </w:p>
    <w:p>
      <w:r>
        <w:t>IT: TF 4P.211/2002 del 18 febbraio 2003</w:t>
      </w:r>
    </w:p>
    <w:p>
      <w:pPr>
        <w:pStyle w:val="Heading2"/>
      </w:pPr>
      <w:r>
        <w:t>Regeste</w:t>
      </w:r>
    </w:p>
    <w:p>
      <w:r>
        <w:t>Zivilprozess</w:t>
      </w:r>
    </w:p>
    <w:p>
      <w:pPr>
        <w:pStyle w:val="Heading2"/>
      </w:pPr>
      <w:r>
        <w:t>Erwägungen</w:t>
      </w:r>
    </w:p>
    <w:p>
      <w:r>
        <w:rPr>
          <w:b/>
        </w:rPr>
        <w:t>E. 1</w:t>
      </w:r>
    </w:p>
    <w:p>
      <w:r>
        <w:t>Die Sachurteilsvoraussetzungen sind erfüllt, weshalb auf die form- und fristgerechte Beschwerde einzutreten ist.</w:t>
      </w:r>
    </w:p>
    <w:p>
      <w:r>
        <w:rPr>
          <w:b/>
        </w:rPr>
        <w:t>E. 2</w:t>
      </w:r>
    </w:p>
    <w:p>
      <w:r>
        <w:t>Die Beschwerdeführerinnen machen geltend, das Obergericht habe seine Begründungspflicht verletzt. Zwar könne die Begründung bei der Kostenregelung knapp ausfallen. Sie müsse sich jedoch mit den wesentlichen Aspekten der Kostenregelung auseinander setzen. Dies habe das Obergericht unterlassen, da es die Gewichtung bzw. den Anteil der einzelnen Anträge am Streitwert nicht angegeben habe.</w:t>
      </w:r>
    </w:p>
    <w:p>
      <w:r>
        <w:rPr>
          <w:b/>
        </w:rPr>
        <w:t>E. 2.1</w:t>
      </w:r>
    </w:p>
    <w:p>
      <w:r>
        <w:t>Der in Art. 29 Abs. 2 BV gewährleistete Anspruch auf rechtliches Gehör verlangt als persönlichkeitsbezogenes Mitwirkungsrecht, dass die Behörde die Vorbringen des vom Entscheid in seiner Rechtsstellung Betroffenen auch tatsächlich hört, sorgfältig und ernsthaft prüft und in der Entscheidfindung berücksichtigt. Daraus folgt die grundsätzliche Pflicht der Behörde, ihren Entscheid zu begründen. Der Bürger soll wissen, warum die Behörde entgegen seinem Antrag entschieden hat. Die Begründung eines Entscheides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 BGE 126 I 97 E. 2b S. 102 f.; 112 Ia 107 E. 2b S. 109 f.; 124 II 146 E. 2a S. 149). Dabei sind die Anforderungen an die Begründung umso höher, je grösser der Entscheidungsspielraum der Behörde ist und je stärker ein Entscheid in die individuellen Rechte eingreift ( BGE 112 Ia 107 E. 2b mit Hinweisen). Gestützt auf diese Grundsätze hat das Bundesgericht erkannt, dass ein Kosten- und Entschädigungsentscheid unter Umständen gar nicht begründet werden muss, oder dass eine äusserst knappe Begründung genügen kann, wenn bezüglich der Höhe eines Kosten- oder Entschädigungsbetrags alle tatbeständlichen und rechtlichen Berechnungsgrundlagen klar sind, so dass die Überlegungen, die den Richter zu seinem Entschädigungsentscheid führten, erkennbar sind ( BGE 111 Ia 1 E. 2a ; 93 I 111</w:t>
      </w:r>
    </w:p>
    <w:p>
      <w:r>
        <w:rPr>
          <w:b/>
        </w:rPr>
        <w:t>E. 2.2</w:t>
      </w:r>
    </w:p>
    <w:p>
      <w:r>
        <w:t>Aus dem angefochtenen Urteil geht hervor, dass das Obergericht seinen Kostenentscheid mit dem teilweisen Unterliegen bezüglich bestimmter vom Gericht ausdrücklich genannter Anträge rechtfertigte. Wie die Beschwerdeführer jedoch zu Recht anführen, unterlässt das Obergericht, den Streitwert der einzelnen Anträge zu quantifizieren und im Verhältnis zum Gesamtstreitwert darzustellen. Dieser wird nicht einmal genau beziffert, sondern mit "über" einer Million Franken definiert. Entsprechend ist nicht nachvollziehbar, von welchem Verhältnis zu den anderen Ansprüchen das Gericht ausgegangen ist, da die Berechnungsgrundlagen für den Streitwert bezüglich der zurückgezogenen Klagebegehren 2 und 3 nicht erkennbar sind. Auch gibt das Gericht nicht an, von welchem Streitwert es bezüglich des unbezifferten Klagebegehrens auf Schadenersatz ausgegangen ist, dessen tatsächliche Grundlage ebenfalls unklar ist. So nehmen die Beschwerdeführer insoweit an, es sei mit einem bisherigen Verkauf 100 bis 300 unzulässigen Bücher zu rechnen gewesen, was bei einem Schaden von Fr. 150.-- pro Buch zu einem Streitwert zwischen Fr. 15'000.-- und Fr. 45'000.-- führe. Demgegenüber stellen sich die Beschwerdegegner auf den Standpunkt, es sei mangels einer oberen Begrenzung des Begehrens vom maximal möglichen Verkauf von 7'000 Büchern auszugehen, was zu einem Streitwert von Fr. 1.05 Mio führe. Von welchen tatsächlichen Grundlagen und Streitwerten das Obergericht ausgegangen ist, kann dem angefochten Urteil nicht entnommen werden, weshalb nicht erkennbar ist, von welchen Überlegungen das Obergericht bei der Kostenverlegung ausgegangen ist. Das Obergericht ist demnach insoweit seiner Begründungspflicht nicht nachgekommen und hat damit den Anspruch der Beschwerdeführer auf rechtliches Gehör verletzt. 3. Die Verletzung des rechtlichen Gehörs führt auf Grund der formellen Natur dieses Anspruchs ungeachtet der Erfolgsaussichten der Beschwerde in der Sache selbst zur Aufhebung des angefochtenen Entscheides im angefochtenen Umfang ( BGE 127 I 128 E. 4d S. 132; 127 V 431 E. 3d S. 437; 120 Ib 379 , E. 3b, je mit Hinweisen). Es erübrigt sich damit, die von den Beschwerdeführern erhobene Willkürrüge zu prüfen. 4. Nach dem Gesagten ist die Beschwerde gutzuheissen. Bei diesem Verfahrensausgang werden die Beschwerdegegner kosten- und entschädigungspflichtig ( Art. 156 Abs. 1 und Art. 159 Abs. 2 OG ).</w:t>
      </w:r>
    </w:p>
    <w:p>
      <w:r>
        <w:rPr>
          <w:b/>
        </w:rPr>
        <w:t>E. 6</w:t>
      </w:r>
    </w:p>
    <w:p>
      <w:r>
        <w:t>E. 2; Urteil des BGer. P.284/2002 vom 09. August 2002 E. 2.4.1; vgl. auch Urteil des BGer. 1P.360/2001 vom 27. September 2001 E. 2e und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