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4P.208/2001 vom 21. November 2001</w:t>
      </w:r>
    </w:p>
    <w:p>
      <w:r>
        <w:t>Bundesgericht, 2001-11-21, DE</w:t>
      </w:r>
    </w:p>
    <w:p>
      <w:r>
        <w:rPr>
          <w:b/>
        </w:rPr>
        <w:t xml:space="preserve">Quelle: </w:t>
      </w:r>
      <w:r>
        <w:t>https://mcp.opencaselaw.ch/entscheid/bger_4P.208_2001</w:t>
      </w:r>
    </w:p>
    <w:p>
      <w:r>
        <w:t>FR: TF 4P.208/2001 du 21 novembre 2001</w:t>
      </w:r>
    </w:p>
    <w:p>
      <w:r>
        <w:t>IT: TF 4P.208/2001 del 21 novembre 2001</w:t>
      </w:r>
    </w:p>
    <w:p>
      <w:pPr>
        <w:pStyle w:val="Heading2"/>
      </w:pPr>
      <w:r>
        <w:t>Regeste</w:t>
      </w:r>
    </w:p>
    <w:p>
      <w:r>
        <w:t>Zivilprozess</w:t>
      </w:r>
    </w:p>
    <w:p>
      <w:pPr>
        <w:pStyle w:val="Heading2"/>
      </w:pPr>
      <w:r>
        <w:t>Erwägungen</w:t>
      </w:r>
    </w:p>
    <w:p>
      <w:r>
        <w:rPr>
          <w:b/>
        </w:rPr>
        <w:t>E. 1</w:t>
      </w:r>
    </w:p>
    <w:p>
      <w:r>
        <w:t>Der Beschwerdeführer rügt, das Obergericht habe einen zu hohen Streitwert angenommen. Dies habe dazu geführt, dass dem Beschwerdeführer ein zu hoher Anteil an den Gerichtskosten und an den Parteikosten der Gegenpartei auferlegt worden sei. Die Streitwertbemessung des Obergerichts verstosse gegen das Willkürverbot und verletze den Grundsatz von Treu und Glauben ( Art. 9 BV ). a) Willkürlich ist ein Entscheid nach ständiger Rechtsprechung nicht bereits dann, wenn eine andere Lösung ebenfalls vertretbar erschiene oder gar vorzuziehen wäre. Das Bundesgericht hebt einen kantonalen Entscheid wegen materieller Rechtsverweigerung vielmehr nur auf, wenn er offensichtlich unhaltbar ist, mit der tatsächlichen Situation in klarem Widerspruch steht, eine Norm oder einen unbestrittenen Rechtsgrundsatz krass verletzt oder in stossender Weise dem Gerechtigkeitsgedanken zuwiderläuft ( BGE 126 III 438 E. 3 mit Hinweisen). Das Bundesgericht hebt einen Entscheid wegen Willkür nur auf, wenn sich nicht nur die Begründung des Entscheids als unhaltbar erweist, sondern auch das Ergebnis als willkürlich erscheint ( BGE 127 I 38 E. 2 ; 125 I 166 E. 2a). b) Art. 9 BV beinhaltet das Grundrecht der Einzelnen, vom Staat nach Treu und Glauben behandelt zu werden. Der verfassungsrechtliche Vertrauensschutz setzt ein Verhalten oder eine Äusserung der Behörde voraus, die gegenüber einer bestimmten Person eine Vertrauensgrundlage schafft. Im Vertrauen auf dieses behördliche Verhalten handelt der Private in einer Weise, die für ihn Schädigungen oder Nachteile zur Folge haben. Dabei spielt insbesondere der Bestimmtheitsgrad einer amtlichen Äusserung eine entscheidende Rolle (Jörg Paul Müller, Grundrechte in der Schweiz, 3. Aufl. , Bern 1999, S. 489). Äusserungen im Verkehr zwischen Behörden und Privaten sind so zu interpretieren, wie die jeweils andere Seite sie nach Treu und Glauben verstehen durfte ( BGE 126 II 97 E. 4b; 124 II 265 E. 4a; 113 Ia 225 E. 1b/bb; Häfelin/Müller, Grundriss des Allgemeinen Verwaltungsrechts,</w:t>
      </w:r>
    </w:p>
    <w:p>
      <w:r>
        <w:rPr>
          <w:b/>
        </w:rPr>
        <w:t>E. 3</w:t>
      </w:r>
    </w:p>
    <w:p>
      <w:r>
        <w:t>Der Beschwerdeführer macht im Weiteren geltend, das Obergericht habe bei der Berechnung des Streitwertes gegen das Willkürverbot verstossen. Als willkürlich rügt der Beschwerdeführer namentlich die Berücksichtigung des Arbeitszeugnisses in der Höhe eines Monatslohnes sowie die doppelte Zählung eines Lohnabzuges. a) Der Beschwerdeführer klagte sein Gehalt für August 1999 in der Höhe von Fr. 6'250.-- ein. Von diesem Lohn zog die Beschwerdegegnerin unter anderem einen Betrag von Fr. 2'962. 95 für Warenbezüge ab. Der Beschwerdeführer übersieht jedoch, dass er diesen Betrag nicht nur als Lohnbestandteil, sondern auch separat eingefordert hat. Er hat somit mit seiner Klage sowohl den gesamten Lohn für den Monat August als auch die Rückforderung des Abzuges für den Warenbezug eingefordert. Dass das Obergericht nicht sämtliche Klagebeilagen durchsuchte, um allfällige Mehrfachrechnungen aufzufinden, kann ihm nicht vorgeworfen werden. Zudem war der Augustlohn im Zeitpunkt der Klageeinreichung bereits auf das Konto des Beschwerdeführers überwiesen worden, was sich der Beschwerdeführer im Hinblick auf die Streitwertberechnung und Kostenverteilung anrechnen lassen muss. Dies umso mehr, als die Beschwerdegegnerin die Verzögerung der Lohnauszahlung angekündigt hat und es dem Beschwerdeführer ohne weiteres zuzumuten gewesen wäre, sich vor Einreichung der Klage ein letztes Mal bei seiner Bank nach dem Kontostand zu erkundigen. Das Obergericht hat somit ohne Verstoss gegen das Willkürverbot und ohne Verletzung des Gebots des Handelns nach Treu und Glauben auf die im Klagebegehren aufgeführten Beträge abgestellt, um den Streitwert zu berechnen. Eine Verfassungsverletzung liegt diesbezüglich nicht vor. b) Der Beschwerdeführer rügt im Übrigen als willkürlich, dass der Streitwert der eingeforderten Ausstellung eines Arbeitszeugnisses auf einen Monatslohn festgelegt wurde. Streitigkeiten im Zusammenhang mit der Ausstellung und der Formulierung von Arbeitszeugnissen sind gemäss bundesgerichtlicher Rechtsprechung vermögensrechtlicher Natur ( BGE 116 II 379 E. 2b). Bezüglich der Streitwerthöhe wird in erster Linie auf die übereinstimmenden Angaben der Parteien abgestellt. Fehlt eine derartige Angabe, so liegt die Bestimmung des Streitwertes im Ermessen des Sachgerichts. Der Einfluss der Arbeitszeugnisse auf den Streitwert wird in den Kantonen verschieden bewertet. In einigen Kantonen wird ein tiefer, eher symbolischer Wert angenommen. In anderen Kantonen, wie beispielsweise Zürich, Thurgau und Aargau, geht man von einem Streitwert in der Höhe eines Monatslohns aus (Streiff/von Kaenel, Arbeitsvertrag, 5. Aufl. , N. 6 zu Art. 330a OR ; Leuenberger/Uffer, Kommentar zur Zivilprozessordnung des Kantons St. Gallen, Bern 1999, N. 4e zu Art. 75; Bühler/Edelmann/Killer, Kommentar zur aargauischen Zivilprozessordnung, 2. Aufl. , N. 18g zu § § 16 und 17 ZPO /AG). Das Arbeitsgericht hat somit ebenso wenig wie das Obergericht willkürlich gehandelt, wenn es den Streitwert des Arbeitszeugnisses gemäss der kantonalen Praxis auf einen Monatslohn festgesetzt hat. c) Zusammenfassend ist festzuhalten, dass die Streitwertbemessung durch das Obergericht willkürfrei erfolgte. Der Streitwert der vom Beschwerdeführer eingereichten Klage wurde ohne Verfassungsverletzung auf Fr. 25'669. 95 festgelegt. Die Klage wurde im Umfang von Fr. 3'090. 25 gutgeheissen. Der Beschwerdeführer beanstandet die Kostenauflage von 7/8 bei diesem Streitwert nicht. Aus den genannten Gründen ist die staatsrechtliche Beschwerde haltlos und daher abzuweisen.</w:t>
      </w:r>
    </w:p>
    <w:p>
      <w:r>
        <w:rPr>
          <w:b/>
        </w:rPr>
        <w:t>E. 4</w:t>
      </w:r>
    </w:p>
    <w:p>
      <w:r>
        <w:t>In arbeitsrechtlichen Streitigkeiten werden bis zu einem bestimmten Streitwert keine Gerichtskosten erhoben. Diese Streitwertgrenze wurde auf den 1. Juni 2001 auf Fr. 30'000.-- angehoben ( Art. 343 Abs. 2 OR ). Diese höhere Streitwertgrenze gilt auch in Bezug auf Verfahren, die zu diesem Zeitpunkt bereits bei einem Gericht hängig waren. Da der Streitwert unter dieser Grenze liegt, werden im vorliegenden Verfahren keine Gerichtskosten erhoben. Der Beschwerdeführer hat allerdings der Beschwerdegegnerin dennoch eine Parteientschädigung zu entrichten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