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4P.206/2002 vom 26. November 2002</w:t>
      </w:r>
    </w:p>
    <w:p>
      <w:r>
        <w:t>Bundesgericht, 2002-11-26, FR</w:t>
      </w:r>
    </w:p>
    <w:p>
      <w:r>
        <w:rPr>
          <w:b/>
        </w:rPr>
        <w:t xml:space="preserve">Quelle: </w:t>
      </w:r>
      <w:r>
        <w:t>https://mcp.opencaselaw.ch/entscheid/bger_4P.206_2002</w:t>
      </w:r>
    </w:p>
    <w:p>
      <w:r>
        <w:t>FR: TF 4P.206/2002 du 26 novembre 2002</w:t>
      </w:r>
    </w:p>
    <w:p>
      <w:r>
        <w:t>IT: TF 4P.206/2002 del 26 novembre 2002</w:t>
      </w:r>
    </w:p>
    <w:p>
      <w:pPr>
        <w:pStyle w:val="Heading2"/>
      </w:pPr>
      <w:r>
        <w:t>Erwägungen</w:t>
      </w:r>
    </w:p>
    <w:p>
      <w:r>
        <w:rPr>
          <w:b/>
        </w:rPr>
        <w:t>E. 1.1</w:t>
      </w:r>
    </w:p>
    <w:p>
      <w:r>
        <w:t>Le recours de droit public au Tribunal fédéral est ouvert contre une décision cantonale pour violation des droits constitutionnels des citoyens ( art. 84 al. 1 let. a OJ ).</w:t>
      </w:r>
    </w:p>
    <w:p>
      <w:r>
        <w:t>Selon la jurisprudence et la doctrine cantonales, la décision prononçant l'irrecevabilité d'une demande pour le motif que l'avance de l'émolument d'introduction n'a pas été effectuée à temps constitue une décision d'administration judiciaire, qui ne peut pas faire l'objet d'un appel, ni sur la base de l'art. 291, ni sur celle de l'art. 292 de la loi genevoise de procédure civile (SJ 1994 p. 518; Bertossa/Gaillard/Guyet/Schmidt, Commentaire de la loi de procédure civile genevoise, n. 5 ad art. 291). Il faut donc admettre que le jugement attaqué est une décision prise en dernière instance cantonale au sens de l' art. 86 al. 1 OJ .</w:t>
      </w:r>
    </w:p>
    <w:p>
      <w:r>
        <w:t>Comme la décision attaquée, qui repose entièrement sur le droit cantonal, n'est susceptible d'aucun autre recours fédéral, la règle de la subsidiarité du recours de droit public est respectée ( art. 84 al. 2 OJ ).</w:t>
      </w:r>
    </w:p>
    <w:p>
      <w:r>
        <w:t>La recourante est personnellement touchée par la décision attaquée, qui a pour effet de la priver de la possibilité d'agir en libération de dette, de sorte qu'elle a un intérêt personnel, actuel et juridiquement protégé à ce que cette décision n'ait pas été prise en violation de ses droits constitutionnels; en conséquence, elle a qualité pour recourir ( art. 88 OJ ).</w:t>
      </w:r>
    </w:p>
    <w:p>
      <w:r>
        <w:t>Interjeté en temps utile (art. 89 al. 1 et 32 al. 2 OJ) et dans la forme prévue par la loi ( art. 90 al. 1 OJ ), le recours est en principe recevable.</w:t>
      </w:r>
    </w:p>
    <w:p>
      <w:r>
        <w:t>Hormis certaines exceptions qui ne sont pas réalisées en l'espèce, il revêt un caractère purement cassatoire et ne peut tendre qu'à l'annulation de la décision attaquée ( ATF 127 II 1 consid. 2c; 127 III 279 consid. 1b; 126 III 534 consid. 1c).</w:t>
      </w:r>
    </w:p>
    <w:p>
      <w:r>
        <w:rPr>
          <w:b/>
        </w:rPr>
        <w:t>E. 1.2</w:t>
      </w:r>
    </w:p>
    <w:p>
      <w:r>
        <w:t>Saisi d'un recours de droit public, le Tribunal fédéral n'examine que les griefs d'ordre constitutionnel invoqués et suffisamment motivés dans l'acte de recours ( ATF 128 III 50 consid. 1c; 127 I 38 consid. 3c; 127 III 279 consid. 1c).</w:t>
      </w:r>
    </w:p>
    <w:p>
      <w:r>
        <w:rPr>
          <w:b/>
        </w:rPr>
        <w:t>E. 2.1</w:t>
      </w:r>
    </w:p>
    <w:p>
      <w:r>
        <w:t>La recourante se plaint en premier lieu d'arbitraire dans l'appréciation des preuves et l'établissement des faits.</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p. 70; 126 I 168 consid. 3a; 125 I 166 consid. 2a).</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w:t>
      </w:r>
    </w:p>
    <w:p>
      <w:r>
        <w:rPr>
          <w:b/>
        </w:rPr>
        <w:t>E. 2.2</w:t>
      </w:r>
    </w:p>
    <w:p>
      <w:r>
        <w:t>Selon l'art. 3 al. 1 du Règlement genevois du 9 avril 1997 fixant le tarif des greffes en matière civile (E 3 05.10), l'émolument de mise au rôle et les sûretés destinées à garantir le paiement de l'émolument complémentaire ou de décision sont perçus auprès de la partie demanderesse sous peine d'irrecevabilité de la demande.</w:t>
      </w:r>
    </w:p>
    <w:p>
      <w:r>
        <w:t>Il ne ressort pas des dispositions cantonales citées par les parties - conformément à l'exigence déduite de l' art. 90 al. 1 let. b OJ ( ATF 110 Ia 1 consid. 2a) - que la partie demanderesse devrait elle-même déterminer le montant de l'émolument de mise au rôle et le verser spontanément soit au moment du dépôt de la demande, soit dans un délai qui serait fixé directement par une norme applicable. On doit donc en déduire qu'il incombe à la juridiction de déterminer le montant de l'émolument et d'impartir un délai au demandeur pour lui permettre d'en effectuer le paiement sous peine d'irrecevabilité. Cette manière d'opérer est d'ailleurs usuelle en Suisse. L'existence de la formule figurant dans le dossier cantonal confirme que le Tribunal de première instance procède habituellement de cette façon. La recourante pouvait donc se fier à cette pratique selon le principe de la bonne foi due par l'administration.</w:t>
      </w:r>
    </w:p>
    <w:p>
      <w:r>
        <w:t>Dans son jugement, le tribunal se réfère expressément au courrier du 22 mai 2002, admettant ainsi, au moins implicitement, que la formule avait été déposée à la poste et acheminée à son destinataire. Il ressort clairement de la motivation cantonale que la demande a été déclarée irrecevable parce que la recourante n'a pas payé l'émolument de mise au rôle "dans le délai qui lui a été imparti".</w:t>
      </w:r>
    </w:p>
    <w:p>
      <w:r>
        <w:t>Or, la recourante conteste qu'un délai lui ait été fixé, puisqu'elle affirme n'avoir pas reçu le courrier du 22 mai 2002 (la formule) auquel se réfère la décision attaquée.</w:t>
      </w:r>
    </w:p>
    <w:p>
      <w:r>
        <w:t>L'autorité cantonale, qui n'a pas présenté d'observations, n'invoque aucun élément de preuve concret d'où il ressortirait que cette formule a été déposée à la poste et qu'elle a été notifiée à son destinataire. Elle ne semble pas contester que le greffe envoie ces formules sous pli simple.</w:t>
      </w:r>
    </w:p>
    <w:p>
      <w:r>
        <w:t>Le fardeau de la preuve de la notification et de la date de celle-ci incombe en principe à l'autorité qui entend en tirer une conséquence juridique ( ATF 124 V 400 consid. 2a; 122 I 97 consid. 3b; 114 III 51 consid. 3c et 4).</w:t>
      </w:r>
    </w:p>
    <w:p>
      <w:r>
        <w:t>Le jugement querellé entraîne des conséquences juridiques évidentes, puisque, en raison du délai légal, il prive la recourante de la possibilité d'agir en libération de dette ( art. 83 al. 2 LP ). Dès lors que le constat que l'avance n'avait pas été effectuée en temps utile devait entraîner la perte de cette action en justice, la juridiction intimée devait procéder de manière à pouvoir établir que le délai avait été correctement imparti à la demanderesse.</w:t>
      </w:r>
    </w:p>
    <w:p>
      <w:r>
        <w:t>Il n'existe aucune présomption de fait selon laquelle la production d'une copie d'un message suffirait pour admettre que l'original a été déposé à la poste et acheminé à son destinataire. C'est d'ailleurs bien pour cette raison que les particuliers usent, pour les messages importants, de la voie de la lettre-signature et que les tribunaux utilisent la notification par acte judiciaire avec accusé de réception. Le Tribunal fédéral procède lui-même de cette façon pour requérir les avances de frais.</w:t>
      </w:r>
    </w:p>
    <w:p>
      <w:r>
        <w:t>Il est certes peu probable que l'original ait été égaré au greffe, qu'un fonctionnaire ait oublié de le déposer à la poste ou que cette dernière se soit trompée dans l'acheminement. De telles hypothèses ne peuvent cependant pas être exclues. En l'absence de tout autre élément de preuve, le tribunal, au moment de rendre son jugement, ne disposait manifestement que de l'exemplaire non signé de la formule qui se trouve dans le dossier. Un tel document est impropre à fonder la conviction qu'il existait un original, que celui-ci a été déposé à la poste et correctement acheminé à son destinataire.</w:t>
      </w:r>
    </w:p>
    <w:p>
      <w:r>
        <w:t>En déclarant la demande irrecevable pour le motif que la recourante n'avait pas versé l'avance dans le délai qui lui avait été imparti, le tribunal s'est fondé sur un état de fait arrêté arbitrairement, puisqu'il ne disposait d'aucune preuve sérieuse que l'avis était parvenu dans la sphère d'influence de la recourante.</w:t>
      </w:r>
    </w:p>
    <w:p>
      <w:r>
        <w:t>Dès lors qu'il y a eu arbitraire dans la constatation des faits pertinents, le recours doit être admis et le jugement déféré annulé, sans qu'il soit nécessaire d'examiner les autres griefs invoqués par la recourante.</w:t>
      </w:r>
    </w:p>
    <w:p>
      <w:r>
        <w:rPr>
          <w:b/>
        </w:rPr>
        <w:t>E. 3</w:t>
      </w:r>
    </w:p>
    <w:p>
      <w:r>
        <w:t>Vu l'issue du litige, les frais judiciaires seront mis à la charge de l'intimée qui succombe ( art. 156 al. 1 OJ ). Il n'y a pas lieu d'allouer des dépens à la recourante, puisqu'elle n'a pas fait appel aux services d'un avocat et qu'elle n'a pas établi avoir assumé des frais particuliers pour sa défense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