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4P.200/2002 vom 27. Januar 2003</w:t>
      </w:r>
    </w:p>
    <w:p>
      <w:r>
        <w:t>Bundesgericht, 2003-01-27, DE</w:t>
      </w:r>
    </w:p>
    <w:p>
      <w:r>
        <w:rPr>
          <w:b/>
        </w:rPr>
        <w:t xml:space="preserve">Quelle: </w:t>
      </w:r>
      <w:r>
        <w:t>https://mcp.opencaselaw.ch/entscheid/bger_4P.200_2002</w:t>
      </w:r>
    </w:p>
    <w:p>
      <w:r>
        <w:t>FR: TF 4P.200/2002 du 27 janvier 2003</w:t>
      </w:r>
    </w:p>
    <w:p>
      <w:r>
        <w:t>IT: TF 4P.200/2002 del 27 gennaio 2003</w:t>
      </w:r>
    </w:p>
    <w:p>
      <w:pPr>
        <w:pStyle w:val="Heading2"/>
      </w:pPr>
      <w:r>
        <w:t>Regeste</w:t>
      </w:r>
    </w:p>
    <w:p>
      <w:r>
        <w:t>Zivilprozess</w:t>
      </w:r>
    </w:p>
    <w:p>
      <w:pPr>
        <w:pStyle w:val="Heading2"/>
      </w:pPr>
      <w:r>
        <w:t>Erwägungen</w:t>
      </w:r>
    </w:p>
    <w:p>
      <w:r>
        <w:rPr>
          <w:b/>
        </w:rPr>
        <w:t>E. 1</w:t>
      </w:r>
    </w:p>
    <w:p>
      <w:r>
        <w:t>Das angefochtene Urteil bereinigt die Streitlage zwischen den Parteien nicht endgültig und ist daher kein Endentscheid im Sinne von Art. 87 OG ( BGE 116 Ia 181 E. 3a S. 183). Das Anfechtungsobjekt betrifft einen Teilentscheid, der nach der Rechtsprechung zu Art. 87 aOG, die grundsätzlich in gleicher Weise auch bei der Anwendung des neuen Art. 87 Abs. 2 OG Geltung beanspruchen kann, ein Zwischenentscheid im Sinne dieser Bestimmung ist ( BGE 123 I 325 E. 3b S. 327, mit Hinweisen). Ein selbständig eröffneter Zwischenentscheid kann gemäss Art. 87 Abs. 2 OG mit staatsrechtlicher Beschwerde nur dann angefochten werden, wenn er einen nicht wiedergutzumachenden Nachteil bewirken kann. Es muss sich um einen Nachteil rechtlicher Natur handeln, der auch mit einem späteren günstigen Entscheid nicht gänzlich behoben werden kann ( BGE 127 I 92 E. 1d S. 95 ; 126 I 207 E. 2 S. 210, je mit Hinweisen). Diese Voraussetzung ist im vorliegenden Fall erfüllt. Der Teilentscheid erging in einem Prozess über eine Stufenklage, in welcher ein Hilfsantrag auf Rechnungslegung mit einer zunächst unbestimmten Forderungsklage auf Leistung des Geschuldeten verbunden wird (Guldener, Schweizerisches Zivilprozessrecht, 3. Aufl. 1979, S. 479f.; Vogel/Spühler, Grundriss des Zivilprozessrechts, 7. Aufl. 2001, S. 189). Das angefochtene Urteil verpflichtet den Beschwerdeführer zu einem mit unter Umständen beachtlichem Aufwand verbundenen Tun, was für den Beschwerdeführer zweifelsohne einen Nachteil darstellt. Dieser könnte selbst durch ein für den Beschwerdeführer günstiges Endurteil über den Hauptanspruch nicht ungeschehen gemacht werden, dient doch die Stufenklage gerade dazu, durch die vorgängige Rechnungsablegung das Hauptbegehren beziffern und beurteilen zu können (vgl. BGE 123 III 140 E. 2c S. 143). Auf die Beschwerde ist insoweit einzutreten.</w:t>
      </w:r>
    </w:p>
    <w:p>
      <w:r>
        <w:rPr>
          <w:b/>
        </w:rPr>
        <w:t>E. 2.1</w:t>
      </w:r>
    </w:p>
    <w:p>
      <w:r>
        <w:t>Vor Bundesgericht macht der Beschwerdeführer geltend, das Kantonsgericht sei über das klar formulierte Berufungsbegehren der Beschwerdegegnerin hinausgegangen. Diese habe beantragt, die Rechenschaftspflicht des Beschwerdeführers über die Überbauung "T." in zeitlicher Hinsicht auszudehnen. Sie habe deshalb lediglich verlangt, dass die Dispositivziffer 1 des erstinstanzlichen Urteils, welche sich auf die Rechenschaftspflicht über die Überbauung "T." bezieht, abgeändert wird. Das Kantonsgericht habe aber nicht nur Dispositivziffer 1, sondern auch Dispositivziffer 3 des erstinstanzlichen Urteils, worin die Klage betreffend Rechenschaftsablegung über weitere Mandate abgewiesen wurde, zugunsten der Beschwerdegegnerin abgeändert. Das Kantonsgericht habe die Dispositionsmaxime ( Art. 119 ZPO /GR) nicht eingehalten und dadurch den Beschwerdeführer um sein Recht gebracht, rechtzeitig Anschlussberufung ( Art. 220 ZPO /GR) zu erheben. Der Beschwerdeführer rügt eine Verletzung des Willkürverbots ( Art. 9 BV ) und des rechtlichen Gehörs ( Art. 29 Abs. 2 BV ).</w:t>
      </w:r>
    </w:p>
    <w:p>
      <w:r>
        <w:rPr>
          <w:b/>
        </w:rPr>
        <w:t>E. 2.2</w:t>
      </w:r>
    </w:p>
    <w:p>
      <w:r>
        <w:t>Im kantonalen Verfahren brachte der Beschwerdeführer demgegenüber vor, das Berufungsbegehren der Beschwerdegegnerin sei unklar und entspreche nicht den zivilprozessualen Anforderungen. Dieses Vorbringen betrifft zwar ebenfalls die Dispositionsmaxime, ist aber trotzdem ein anderes als das vor Bundesgericht vorgetragene; das Vorbringen vor Bundesgericht ist deshalb neu. Bei reinen Willkürbeschwerden und Beschwerden, deren Rügen mit der Willkürbeschwerde zusammenfallen, sind rechtliche Noven grundsätzlich nicht zulässig ( BGE 119 Ia 88 E. 1a S. 90f., mit Hinweisen). Ausnahmen werden für Vorbringen gemacht, zu deren Geltendmachung erst die Begründung des angefochtenen Entscheids Anlass gab, und für Gesichtspunkte, die sich aufdrängen und deshalb von der kantonalen Instanz offensichtlich von Amtes wegen hätten berücksichtigt werden müssen ( BGE 99 Ia 113 E. 4a S. 122). Letzteres trifft in Bezug auf die Anwendung der Dispositionsmaxime zweifelsohne zu, zumal sowohl das Vorbringen vor Kantonsgericht als auch dasjenige vor Bundesgericht die Dispositionsmaxime betreffen und nur nuanciert voneinander abweichen. Im Hinblick auf den Verfahrensausgang kann die Frage der Zulässigkeit des neuen Vorbringens vor Bundesgericht aber ohnehin offen bleiben.</w:t>
      </w:r>
    </w:p>
    <w:p>
      <w:r>
        <w:rPr>
          <w:b/>
        </w:rPr>
        <w:t>E. 3.1</w:t>
      </w:r>
    </w:p>
    <w:p>
      <w:r>
        <w:t>Die Dispositionsmaxime ist ein Grundsatz des kantonalen Rechts ( BGE 111 II 358 E. 1 S. 360; 109 II 452 E. 5d S. 460). Gemäss Art. 119 ZPO /GR darf das Gericht einer Partei weder mehr noch anderes zusprechen, als sie selbst verlangt, noch weniger, als der Gegner anerkannt hat. Berufungsanträge müssen deshalb klar angeben, welche Teile des angefochtenen Entscheids nach Auffassung der appellierenden Partei abgeändert werden sollen. Dadurch soll die Gegenpartei in die Lage versetzt werden, sich entsprechend verteidigen zu können. Der Beschwerdeführer verweist diesbezüglich auf Art. 220 ZPO /GR, wonach zur Erhebung der Anschlussberufung eine peremptorische Frist von zehn Tagen ab Mitteilung der Berufungserklärung läuft. Wie das Kantonsgericht in einem früheren Entscheid festhielt, kann einer berufungsbeklagten Partei nicht zugemutet werden, einen Entschluss über die Erhebung der Anschlussberufung zu treffen, ohne überhaupt zu wissen, was die Gegenpartei im Berufungsverfahren erreichen will (Praxis des Kantonsgerichts Graubünden (PKG) 1996 Nr. 3 S. 14). Die Anwendung der Dispositionsmaxime findet ihre Grenzen am Gebot von Treu und Glauben als Grundsatz des kantonalen Zivilprozessrechts ( Art. 4 ZPO /GR; BGE 111 II 62 E. 3 S. 66). Bei der Auslegung von Rechtsbegehren ist das Gericht an diesen Grundsatz gebunden (vgl. ausdrücklich zur ähnlichen Bestimmung der Zürcher Zivilprozessordnung Frank/Sträuli/Messmer, Kommentar zur zürcherischen Zivilprozessordnung, 3. Aufl. 1997, N 8 zu § 50). Ferner wendet sich das Verbot des überspitzten Formalismus ( Art. 29 Abs. 2 BV ) gegen prozessuale Formenstrenge, die durch kein schutzwürdiges Interesse gerechtfertigt ist und die Verwirklichung des materiellen Rechts in unhaltbarer Weise erschwert oder verhindert ( BGE 127 I 31 E. 2a/bb, mit Hinweisen). Rechtsbegehren sind deshalb nicht formalistisch, sondern nach ihrem Sinn auszulegen (vgl. PKG 1996 Nr. 3 S. 14; 1995 Nr. 15 S. 69; 1976 Nr. 9 S. 53; ferner BGE 105 II 149 E. 2a S. 152; Guldener, a.a.O., S. 262; Vogel/Spühler, a.a.O., S. 52).</w:t>
      </w:r>
    </w:p>
    <w:p>
      <w:r>
        <w:rPr>
          <w:b/>
        </w:rPr>
        <w:t>E. 3.2</w:t>
      </w:r>
    </w:p>
    <w:p>
      <w:r>
        <w:t>Im angefochtenen Urteil stellte das Kantonsgericht nicht allein auf den Wortlaut des Berufungsantrags der Beschwerdegegnerin ab, welcher sich formal betrachtet lediglich auf Dispositivziffer 1 des erstinstanzlichen Urteils bezog. Zur Auslegung des Wortes "umfassend" stützte sich das Kantonsgericht auch auf das erstinstanzlich gestellte Rechtsbegehren. Dieses erwähnte nicht nur die Tätigkeit des Beschwerdeführers in Sachen Überbauung "T." in L.________, sondern enthielt eine detaillierte Liste von Begehren um Auskunft über die gesamte Tätigkeit des Beschwerdeführers in der Zeit von Januar 1990 bis Mai 1998. Wie das Kantonsgericht vor diesem Hintergrund willkürfrei bemerkte, war objektiv erkennbar, dass mit dem Wort "umfassend" die im erstinstanzlichen Begehren aufgelistete Tätigkeit des Beschwerdeführers gemeint sein musste. Dass der Beschwerdeführer diese Möglichkeit der Auslegung tatsächlich erwog, ist im Übrigen aus den Plädoyer-Notizen der Berufungsverhandlung vom 25. Juni 2002 ersichtlich. Aus diesen Gründen hat das Kantonsgericht Art. 119 ZPO /GR nicht falsch - und erst recht nicht willkürlich ( BGE 127 I 38 S. 41, mit Hinweisen) - angewendet.</w:t>
      </w:r>
    </w:p>
    <w:p>
      <w:r>
        <w:rPr>
          <w:b/>
        </w:rPr>
        <w:t>E. 4</w:t>
      </w:r>
    </w:p>
    <w:p>
      <w:r>
        <w:t>Ebenfalls unbegründet ist die Beschwerde auch insofern, als der Beschwerdeführer in der Missachtung der Dispositionsmaxime eine Verletzung des rechtlichen Gehörs sieht. Der Gehörsanspruch wird in erster Linie vom kantonalen Prozessrecht umschrieben ( BGE 124 I 49 E. 3 S. 51, mit weiteren Hinweisen), welches wie erläutert nicht verletzt wurde. Im Übrigen behauptet der Beschwerdeführer nicht, dass das kantonale Verfahrensrecht den Minimalanspruch, wie er in Art. 29 Abs. 2 BV garantiert wird, nicht gewährleistet.</w:t>
      </w:r>
    </w:p>
    <w:p>
      <w:r>
        <w:rPr>
          <w:b/>
        </w:rPr>
        <w:t>E. 5</w:t>
      </w:r>
    </w:p>
    <w:p>
      <w:r>
        <w:t>Die staatsrechtliche Beschwerde ist abzuweisen. Ausgangsgemäss ist die Gerichtsgebühr dem Beschwerdeführer aufzuerlegen ( Art. 156 Abs. 1 OG ). Dieser hat die Beschwerdegegnerin für das bundesgerichtliche Verfahren zu entschädigen ( Art. 159 Abs. 1 und 2 OG ). Damit wird das Gesuch der Beschwerdegegnerin um Gewährung der unentgeltlichen Rechtspflege bezüglich der Gerichtskosten gegenstandslos. Hinsichtlich der Parteientschädigung behält es aber seine Bedeutung für den Fall, dass sich diese Forderung als uneinbringlich erweisen sollte ( Art. 152 Abs. 2 OG ). Der Beschwerdegegnerin ist die unentgeltliche Rechtsverbeiständung im Verfahren vor Bundesgericht ohne weiteres zu gewähren. Bereits die kantonalen Gerichte haben der Beschwerdegegnerin die unentgeltliche Rechtspflege bewilligt. Es ist unwahrscheinlich, dass sich die finanzielle Situation der Beschwerdegegnerin seit dem Urteilsspruch des Obergerichts am 3. September 2002 verbessert hat. Zudem ist das Begehren der Beschwerdegegnerin auf Abweisung der staatsrechtlichen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