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4P.198/2005 vom 31. Oktober 2005</w:t>
      </w:r>
    </w:p>
    <w:p>
      <w:r>
        <w:t>Bundesgericht, 2005-10-31, DE</w:t>
      </w:r>
    </w:p>
    <w:p>
      <w:r>
        <w:rPr>
          <w:b/>
        </w:rPr>
        <w:t xml:space="preserve">Quelle: </w:t>
      </w:r>
      <w:r>
        <w:t>https://mcp.opencaselaw.ch/entscheid/bger_4P.198_2005</w:t>
      </w:r>
    </w:p>
    <w:p>
      <w:r>
        <w:t>FR: TF 4P.198/2005 du 31 octobre 2005</w:t>
      </w:r>
    </w:p>
    <w:p>
      <w:r>
        <w:t>IT: TF 4P.198/2005 del 31 ottobre 2005</w:t>
      </w:r>
    </w:p>
    <w:p>
      <w:pPr>
        <w:pStyle w:val="Heading2"/>
      </w:pPr>
      <w:r>
        <w:t>Regeste</w:t>
      </w:r>
    </w:p>
    <w:p>
      <w:r>
        <w:t>Art. 85 lit. c OG; Art. 190 Abs. 2 lit. d, c und e IPRG (Internationales Schiedsgericht, rechtliches Gehör, unbeurteiltes Rechtsbegehren, Ordre Public) | Schiedsgerichtsbarkeit</w:t>
      </w:r>
    </w:p>
    <w:p>
      <w:pPr>
        <w:pStyle w:val="Heading2"/>
      </w:pPr>
      <w:r>
        <w:t>Erwägungen</w:t>
      </w:r>
    </w:p>
    <w:p>
      <w:r>
        <w:rPr>
          <w:b/>
        </w:rPr>
        <w:t>E. 1</w:t>
      </w:r>
    </w:p>
    <w:p>
      <w:r>
        <w:t>Die staatsrechtliche Beschwerde richtet sich gegen ein Schiedsgerichtsurteil im Sinne der Art. 176 ff. IPRG . Ein solches Urteil kann nur aus den in Art. 190 Abs. 2 IPRG genannten Gründen angefochten werden. Hat jedoch keine der Parteien Wohnsitz, gewöhnlichen Aufenthalt oder eine Niederlassung in der Schweiz, so können sie durch eine ausdrückliche Erklärung in der Schiedsvereinbarung oder in einer späteren schriftlichen Übereinkunft die Anfechtung der Schiedsentscheide vollständig ausschliessen ( Art. 192 Abs. 1 IPRG ). In diesem Fall gilt für die Vollstreckung in der Schweiz das New Yorker Übereinkommen vom 10. Juni 1958 über die Anerkennung und Vollstreckung ausländischer Schiedssprüche sinngemäss ( Art. 192 Abs. 2 IPRG ). Die Parteien sind im vorliegenden Fall einerseits in der Türkei und anderseits in den USA domiziliert.</w:t>
      </w:r>
    </w:p>
    <w:p>
      <w:r>
        <w:rPr>
          <w:b/>
        </w:rPr>
        <w:t>E. 1.1</w:t>
      </w:r>
    </w:p>
    <w:p>
      <w:r>
        <w:t>Die Erklärung über den Ausschluss der Anfechtung der Schiedsentscheide gemäss Art. 192 Abs. 1 IPRG muss ausdrücklich sein. Das Bundesgericht hat dafür zunächst verlangt, dass die Rechtsmittel ausdrücklich genannt werden, welche die Parteien ausschliessen wollen ( BGE 116 II 639 E. 2c). Diese Anforderung wurde jedoch in einem kürzlich ergangenen Entscheid als zu einschränkend qualifiziert; danach wird als genügend angesehen, dass aus der Erklärung der Wille der Parteien unmissverständlich hervorgeht, von der Möglichkeit im Sinne von Art. 192 Abs. 1 IPRG Gebrauch zu machen und auf die Anfechtung des internationalen Schiedsentscheids beim Bundesgericht zu verzichten (vgl. BGE 131 III 173 E. 4.2). Als geeignetste Methode, den Verzicht in diesem Sinne eindeutig zu erklären, wird dabei der Bezug auf Art. 190 oder 192 IPRG in der Schiedsklausel selbst erwähnt ( BGE 131 III 173 E. 4.2.3.1 S. 177).</w:t>
      </w:r>
    </w:p>
    <w:p>
      <w:r>
        <w:rPr>
          <w:b/>
        </w:rPr>
        <w:t>E. 1.2</w:t>
      </w:r>
    </w:p>
    <w:p>
      <w:r>
        <w:t>Die von den Parteien in beide Finanzierungsverträge (LFA und EFA) aufgenommenen Schiedsklauseln enthalten folgenden Passus: "The decision of the Arbitral Tribunal shall be final, and the parties waive all challenge of the award in accordance with Article 192 Private International Law Statute. The award shall be recognised and enforced by all applicable jurisdictions pursuant to the Uniform Rules of the UN Convention on the Recognition and Enforcement of Foreign Arbitral Awards." Mit dem ausdrücklichen Hinweis auf Art. 192 IPRG haben die Parteien das Rechtsmittel gemäss Art. 190 Abs. 2 IPRG in diesen Schiedsklauseln vollständig ausgeschlossen und überdies die Folge dieses Ausschlusses nach Art. 192 Abs. 2 IPRG insbesondere auch für die Vollstreckung in der Schweiz noch eigens erwähnt. Sie haben damit die staatsrechtliche Beschwerde gegen das Schiedsurteil gestützt auf Art. 192 Abs. 1 IPRG vollständig ausgeschlossen. Die Beschwerdeführerin bestreitet denn auch nicht grundsätzlich, dass der Rechtsmittelverzicht in diesen Verträgen eindeutig erklärt worden und nach schweizerischem Recht gültig erfolgt ist. Sie bringt jedoch einerseits vor, dies gelte nicht für das KGA, das weder eine Schiedsklausel noch einen ausdrücklichen Rechtsmittelverzicht enthalte; anderseits hält sie dafür, der Verzicht auf die Rechtsmittel verletze den Ordre public und die türkische Verfassung.</w:t>
      </w:r>
    </w:p>
    <w:p>
      <w:r>
        <w:rPr>
          <w:b/>
        </w:rPr>
        <w:t>E. 1.3</w:t>
      </w:r>
    </w:p>
    <w:p>
      <w:r>
        <w:t>Die Beschwerdeführerin hat ihr an die Zürcher Handelskammer gerichtetes Begehren um Einleitung des Schiedsverfahrens vom 5. Februar 2002 nicht nur auf das LFA und das EFA gestützt, sondern auch auf das KGA. Sie hat unter anderem dargelegt, dass der Streit sich zum Teil auch auf diese Garantie beziehe, die sie für die Schulden der B.________ am 19. August 1998 geleistet hatte. Die Beschwerdeführerin legte dar, dass diese Garantie zwar selbst keine Schiedsklausel enthalte, dass jedoch ohne Zweifel beabsichtigt gewesen sei, sie eng mit den Finanzierungsabkommen zu verbinden und dass sie daher von der Schiedsklausel in diesen Abkommen erfasst sei. Denn nach dem Wortlaut der Schiedsklausel in diesen Verträgen sollten nicht nur Streitigkeiten aus dem Finanzierungs-Vertrag selbst, sondern auch Streitigkeiten aus irgendeinem damit in Zusammenhang stehenden Vertrag oder Dokument von der Schiedsvereinbarung erfasst werden ("In the event a dispute arises hereunder, or under any document or agreement delivered in connection herewith [...]."). Die Garantie nach dem KGA sollte nach der von der Beschwerdeführerin in ihrem Schiedsbegehren vom 5. Februar 2002 geäusserten Ansicht als solches Dokument oder als solcher Vertrag qualifiziert werden, der den Schiedsklauseln im LFA und im EFA gleichermassen wie diese Verträge selbst unterstehen sollte. Sowohl das Begehren der Beschwerdeführerin als auch die Einlassung der Beschwerdegegnerin in Bezug auf das KGA sind als Einverständnis sämtlicher Beteiligter damit zu verstehen, dass das KGA als Vertrag im Zusammenhang mit den Finanzierungsabkommen zu qualifizieren ist, der ebenso wie diese der Schiedsklausel untersteht. Galt aber damit die Schiedsvereinbarung nach dem übereinstimmenden Willen der Parteien auch für das KGA, so betrifft dies ohne weiteres auch den dort ausdrücklich erklärten Rechtsmittelverzicht.</w:t>
      </w:r>
    </w:p>
    <w:p>
      <w:r>
        <w:rPr>
          <w:b/>
        </w:rPr>
        <w:t>E. 1.4</w:t>
      </w:r>
    </w:p>
    <w:p>
      <w:r>
        <w:t>Die Parteien haben in der Schiedsklausel des LFA und EFA Streitigkeiten sowohl aus diesen Verträgen wie aus dem damit in Zusammenhang stehenden KGA einer Schiedsvereinbarung unterstellt, in der sie gestützt auf Art. 192 Abs. 1 IPRG die Anfechtung der Schiedsentscheide ausdrücklich ausgeschlossen haben.</w:t>
      </w:r>
    </w:p>
    <w:p>
      <w:r>
        <w:rPr>
          <w:b/>
        </w:rPr>
        <w:t>E. 2</w:t>
      </w:r>
    </w:p>
    <w:p>
      <w:r>
        <w:t>Die Beschwerdeführerin bringt vor, der in der massgebenden Schiedsvereinbarung des FLA, EFA und KGA erklärte Verzicht auf Rechtsmittel sei Ordre public-widrig und verletze insbesondere die türkische Verfassung.</w:t>
      </w:r>
    </w:p>
    <w:p>
      <w:r>
        <w:rPr>
          <w:b/>
        </w:rPr>
        <w:t>E. 2.1</w:t>
      </w:r>
    </w:p>
    <w:p>
      <w:r>
        <w:t>Die Beschwerdeführerin beruft sich auf Art. 19 IPRG . Danach kann anstelle des Rechts, das durch dieses Gesetz bezeichnet wird, die Bestimmung eines andern Rechts, die zwingend angewandt sein will, berücksichtigt werden, wenn nach schweizerischer Rechtsauffassung schützenswerte und offensichtlich überwiegende Interessen einer Partei es gebieten und der Sachverhalt mit jenem Recht einen engen Zusammenhang aufweist (Abs. 1). Ob eine solche Bestimmung zu berücksichtigen ist, beurteilt sich nach ihrem Zweck und den daraus sich ergebenden Folgen für eine nach schweizerischer Rechtsauffassung sachgerechte Entscheidung (Abs. 2; vgl. BGE 130 III 620 E. 3). Inwiefern Art. 19 IPRG auf den nach Art. 192 IPRG zulässigen Rechtsmittelverzicht ausländischer Parteien anwendbar sein sollte, ist nicht erkennbar. Art. 19 IPRG erlaubt es unter bestimmten Voraussetzungen, anstelle des nach dem IPRG anwendbaren Rechts, die zwingenden Bestimmungen eines (weiteren) ausländischen Rechts zu berücksichtigen (Mächler-Erne, Basler Kommentar, N 1 zu Art. 19 IPRG ; Vischer, Zürcher Kommentar zum IPRG, N 2 zu Art. 19 IPRG ). Der im 12. Kapitel über die internationale Schiedsgerichtsbarkeit ( Art. 176 ff. IPRG ) enthaltene Art. 192 IPRG bezeichnet jedoch keinerlei anwendbare Rechtsordnung, sondern ermöglicht den im Ausland domizilierten Parteien eines in der Schweiz durchgeführten internationalen Schiedsverfahrens, auf die nach schweizerischem Recht vorgesehenen Rechtsmittel unter bestimmten Voraussetzungen zu verzichten (vgl. Siehr, Zürcher Kommentar zum IPRG, N 3 ff. zu Art. 192 IPRG ; Patocchi/Jermini, Basler Kommentar, N 4 ff. zu Art. 192 IPRG ). Für eine Berücksichtigung drittstaatlicher Eingriffsnormen bleibt im Rahmen des Art. 192 IPRG kein Raum, da Art. 19 IPRG hier keine Anwendung findet. Hinzu kommt, dass Art. 192 IPRG bezweckt, der schiedsgerichtlichen Erledigung von Streitigkeiten einen möglichst hohen Grad an Effizienz zu sichern und die schweizerischen Gerichte vor dilatorischen Beschwerden in Streitigkeiten zu bewahren, die zur Schweiz in keiner realen Beziehung stehen (vgl. Botschaft zum IPRG, BBl 135/1983 I, S. 465; Siehr, a.a.O., N 1 zu Art. 192 IPRG ; Patocchi/Jermini, a.a.O., N 1 zu Art. 192 IPRG ; Poudret/Besson, Droit comparé de l'arbitrage international, 2002, S. 828). Die Berücksichtigung drittstaatlicher Eingriffsnormen würde somit auch dem Sinn und Zweck von Art. 192 IPRG zuwiderlaufen. Es kann daher dahingestellt bleiben, ob die türkische Verfassung tatsächlich dem Rechtsmittelverzicht an ein (aus türkischer Sicht) ausländisches staatliches Gericht in einer schiedsfähigen internationalen Streitsache entgegensteht, wie die Beschwerdeführerin unter Verweis auf ein Parteigutachten behauptet und die Beschwerdegegnerin bestreitet.</w:t>
      </w:r>
    </w:p>
    <w:p>
      <w:r>
        <w:rPr>
          <w:b/>
        </w:rPr>
        <w:t>E. 2.2</w:t>
      </w:r>
    </w:p>
    <w:p>
      <w:r>
        <w:t>Die Beschwerdeführerin beanstandet den unter den Parteien vereinbarten Rechtsmittelverzicht nach Art. 192 IPRG als Verstoss gegen den Ordre public. Soweit sie ihren Standpunkt mit Literaturhinweisen betreffend Art. 190 Abs. 2 lit. e IPRG zu stützen versucht, verkennt sie, dass der Rechtsmittelverzicht eine Überprüfung auch dieser Rüge im Verfahren der staatsrechtlichen Beschwerde gegen den Schiedsentscheid gerade ausschliesst. Der Rechtsmittelverzicht nach Art. 192 Abs. 1 IPRG hat zur Folge, dass das Schweizerische Bundesgericht als staatliches Gericht des Schiedsgerichts-Sitzstaates das Schiedsurteil nicht überprüfen kann; und zwar auch nicht auf die Einhaltung fundamentaler rechtsstaatlicher Grundsätze, welche mit den Rügen gemäss Art. 190 Abs. 2 IPRG regelmässig gewährleistet werden sollen. Dies bedeutet freilich nicht, dass Schiedsgerichtsurteile ohne weiteres vollstreckt werden könnten, welche gegen fundamentale rechtsstaatliche Grundsätze verstossen. Wie in Art. 192 Abs. 2 IPRG klargestellt wird, bleibt eine Überprüfung von Schiedsgerichtsurteilen im Rahmen der Anerkennung und Vollstreckung in der Schweiz gemäss Art. V des New Yorker Übereinkommens vom 10. Juni 1958 (SR 0.277.12) vorbehalten (Corboz, SJ 2002 II, S. 10; Siehr, a.a.O., N 24 zu Art. 192 IPRG ; Lalive/Poudret/Reymond, Le droit de l'arbitrage, 1989, N 1 zu Art. 192; Patocchi/Jermini, a.a.O., N 29 ff. zu Art. 192 IPRG ; Botschaft zum IPRG, a.a.O., S. 465). Der Rechtsmittelverzicht, den das Bundesgericht als Beschwerdeinstanz ( Art. 191 Abs. 1 IPRG ) unter den Voraussetzungen des Art. 192 Abs. 1 IPRG zu beachten hat, führt materiell nicht zu unhaltbaren Ergebnissen, sondern soll dilatorische Beschwerden verhindern bzw. die Effizienz der Schiedsgerichtsbarkeit steigern (vgl. E. 2.1). Die Bestimmung mag zwar im internationalen Vergleich insofern eher Ausnahmecharakter haben, als sie einen Rechtsmittelverzicht schon zum Voraus zulässt (vgl. Poudret/Besson, a.a.O., S. 826 ff.; Siehr, a.a.O., N 2 zu Art. 192 IPRG ). Dies ändert jedoch nichts daran, dass sie nach dem ausdrücklichen Willen des Gesetzgebers die Verhinderung der mit der Ergreifung von (aussichtslosen) Rechtsmitteln stets verbundenen Verzögerung bezweckt, was eine Korrektur contra legem unter Berufung auf den Ordre public von vornherein ausschliesst (Patocchi/Jermini, a.a.O., N 27 zu Art. 192 IPRG ).</w:t>
      </w:r>
    </w:p>
    <w:p>
      <w:r>
        <w:rPr>
          <w:b/>
        </w:rPr>
        <w:t>E. 3</w:t>
      </w:r>
    </w:p>
    <w:p>
      <w:r>
        <w:t>Die Beschwerdeführerin hat ebenso wie die Gegenpartei in der für die hier in Frage stehenden Streitigkeiten massgebenden Schiedsklausel ausdrücklich auf die Rechtsmittel verzichtet, welche im 12. Kapitel des IPRG gegen internationale Schiedsurteile vorgesehen sind. Dieser Verzicht ist gemäss Art. 192 Abs. 1 IPRG gültig. Auf die staatsrechtliche Beschwerde ist nicht einzutreten.</w:t>
      </w:r>
    </w:p>
    <w:p>
      <w:r>
        <w:rPr>
          <w:b/>
        </w:rPr>
        <w:t>E. 4</w:t>
      </w:r>
    </w:p>
    <w:p>
      <w:r>
        <w:t>Die Gerichtsgebühr ist dem Verfahrensausgang entsprechend der Beschwerdeführerin zu auferlegen ( Art. 156 Abs. 1 OG ). Diese hat der anwaltlich vertretenen Gegenpartei deren Parteikosten zu ersetzen ( Art. 159 Abs. 2 OG ). Bei der Bemessung von Gebühr und Parteientschädigung ist dem ausserordentlich hohen Streitwert Rechnung zu tragen, was die Auferlegung der Maximalgebühr rechtfertigt. Unter Berücksichtigung des erforderlichen Aufwandes rechtfertigt es sich dagegen nicht, die Parteientschädigung am oberen Rahmen festzulegen (d.h. bis höchstens 1 Prozent des Streitwerts gemäss Art. 6 des Tarifs über die Entschädigungen an die Gegenpartei für das Verfahren vor dem Bundesgericht, SR 173.119.1). Sie ist vielmehr im unteren Bereich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