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4P.198/2000 vom 15. November 2000</w:t>
      </w:r>
    </w:p>
    <w:p>
      <w:r>
        <w:t>Bundesgericht, 2000-11-15, FR</w:t>
      </w:r>
    </w:p>
    <w:p>
      <w:r>
        <w:rPr>
          <w:b/>
        </w:rPr>
        <w:t xml:space="preserve">Quelle: </w:t>
      </w:r>
      <w:r>
        <w:t>https://mcp.opencaselaw.ch/entscheid/bger_4P.198_2000</w:t>
      </w:r>
    </w:p>
    <w:p>
      <w:r>
        <w:t>FR: TF 4P.198/2000 du 15 novembre 2000</w:t>
      </w:r>
    </w:p>
    <w:p>
      <w:r>
        <w:t>IT: TF 4P.198/2000 del 15 novembre 2000</w:t>
      </w:r>
    </w:p>
    <w:p>
      <w:pPr>
        <w:pStyle w:val="Heading2"/>
      </w:pPr>
      <w:r>
        <w:t>Erwägungen</w:t>
      </w:r>
    </w:p>
    <w:p>
      <w:r>
        <w:rPr>
          <w:b/>
        </w:rPr>
        <w:t>E. 1</w:t>
      </w:r>
    </w:p>
    <w:p>
      <w:r>
        <w:t>Le recours de droit public au Tribunal fédéral est ouvert contre une décision cantonale pour violation des droits constitutionnels des citoyens ( art. 84 al. 1 let. a OJ ).</w:t>
      </w:r>
    </w:p>
    <w:p>
      <w:r>
        <w:t>Le jugement rendu par le tribunal cantonal, qui est final, n'est susceptible d'aucun autre moyen de droit sur le plan fédéral ou cantonal dans la mesure où le recourant invoque la violation directe d'un droit constitutionnel, de sorte que la règle de la subsidiarité du recours de droit public est respectée (art. 84 al. 2 et 86 al. 1 OJ). En revanche, si le recourant soulève une question relevant de l'application du droit fédéral, le grief n'est pas recevable, parce qu'il pouvait faire l'objet d'un recours en réforme (art. 43 al. 1, 46 et 84 al. 2 OJ).</w:t>
      </w:r>
    </w:p>
    <w:p>
      <w:r>
        <w:t>Le recourant est personnellement touché par la décision attaquée, qui le condamne à verser à l'intimé une somme d'argent, de sorte qu'il a un intérêt personnel, actuel et juridiquement protégé à ce que cette décision n'ait pas été prise en violation de ses droits constitutionnels; en conséquence, il a qualité pour recourir ( art. 88 OJ ).</w:t>
      </w:r>
    </w:p>
    <w:p>
      <w:r>
        <w:t>Interjeté en temps utile compte tenu des féries (art. 34 al. 1 let. b et 89 al. 1 OJ), dans la forme prévue par la loi ( art. 90 al. 1 OJ ), le recours est en principe recevable.</w:t>
      </w:r>
    </w:p>
    <w:p>
      <w:r>
        <w:rPr>
          <w:b/>
        </w:rPr>
        <w:t>E. 2</w:t>
      </w:r>
    </w:p>
    <w:p>
      <w:r>
        <w:t>Invoquant une violation de l' art. 9 Cst. , le recourant se plaint exclusivement d'arbitraire dans l'appréciation des preuves et l'établissement des faits.</w:t>
      </w:r>
    </w:p>
    <w:p>
      <w:r>
        <w:t>a) Selon la jurisprudence, l'arbitraire, prohibé par l' art. 9 Cst. ,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125 I 166 consid. 2a, II 10 consid. 3a, 129 consid. 5b p. 134; 124 I 247 consid. 5 p. 250).</w:t>
      </w:r>
    </w:p>
    <w:p>
      <w:r>
        <w:t>S'agissant plus précisément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Il appartient au recourant d'établir la réalisation de ces conditions en tentant de démontrer, par une argumentation précise, que la décision incriminée est insoutenable ( art. 90 al. 1 let. b OJ ; ATF 122 I 70 consid. 1c; 119 Ia 197 consid. 1d; 117 Ia 393 consid. 1c; 110 Ia 3 consid. 2a).</w:t>
      </w:r>
    </w:p>
    <w:p>
      <w:r>
        <w:t>b) En premier lieu, le recourant reproche à la cour cantonale d'avoir considéré de manière arbitraire qu'il devait 16'821, 45 fr. à son frère pour la période antérieure au 9 juin 1994 sur la base d'un décompte datant du 1er juin 1996, alors que l'intimé, à qui la charge de la preuve incombait, n'était pas parvenu à démontrer le montant des prétentions qu'il réclamait à son frère pour cette même période.</w:t>
      </w:r>
    </w:p>
    <w:p>
      <w:r>
        <w:t>Pour retenir cette somme, la cour cantonale s'est effectivement fondée sur le décompte précité, qui indiquait que l'intimé était créancier de la somme de 16'821, 45 fr.</w:t>
      </w:r>
    </w:p>
    <w:p>
      <w:r>
        <w:t>encaissée par le recourant et conservée en compensation de ses prétentions.</w:t>
      </w:r>
    </w:p>
    <w:p>
      <w:r>
        <w:t>Il ressort du dossier que c'est à la demande de l'intimé que le recourant a établi ce décompte, afin de permettre aux parties de discuter précisément des montants dus.</w:t>
      </w:r>
    </w:p>
    <w:p>
      <w:r>
        <w:t>Le recourant l'a produit en justice et, bien que ce document ne soit pas signé, il n'a jamais contesté en être l'auteur, avec l'aide de son épouse. Comme le relève à juste titre l'intimé, tant le recourant que son épouse ont d'ailleurs confirmé le contenu du décompte lors de leurs interrogatoires.</w:t>
      </w:r>
    </w:p>
    <w:p>
      <w:r>
        <w:t>En pareilles circonstances, on ne voit pas ce qu'il pourrait y avoir de choquant à retenir que la somme mentionnée par le recourant lui-même en sa défaveur dans le décompte correspondait à ce qu'il devait à son frère pour la période antérieure au 9 juin 1994. Par conséquent, il importe peu que l'intimé soit ou non parvenu à démontrer le montant de sa prétention, puisque, lorsque l'appréciation des preuves convainc le juge qu'une allégation de fait a été prouvée, la question de la répartition du fardeau de la preuve ne se pose plus ( ATF 119 III 103 consid. 1; 118 II 142 consid. 3a p. 147). Au demeurant, savoir si l' art. 8 CC a été correctement appliqué, comme semble le contester le recourant, est une question de droit qui aurait pu, en l'espèce, être examinée dans un recours en réforme ( art. 43 al. 1 et 46 OJ ), ce qui exclut qu'elle le soit également par la voie du recours de droit public qui est subsidiaire ( art. 84 al. 2 OJ ; ATF 120 II 384 consid. 4a).</w:t>
      </w:r>
    </w:p>
    <w:p>
      <w:r>
        <w:t>c) Le recourant soutient, en second lieu, que c'est de manière insoutenable que la cour cantonale a uniquement retenu en compensation de la somme due à son frère le montant de 10'000 fr., en estimant que les autres postes qu'il avait invoqués n'avaient pas été établis dans leur ampleur, voire dans leur principe.</w:t>
      </w:r>
    </w:p>
    <w:p>
      <w:r>
        <w:t>aa) A ce propos, il reproche aux juges d'avoir refusé de prendre en considération, comme moyen de preuve, le décompte du 1er juillet 1996, bien qu'un certain nombre de montants indiqués à sa charge dans ce document étaient en réalité dus par l'intimé.</w:t>
      </w:r>
    </w:p>
    <w:p>
      <w:r>
        <w:t>Sur ce point, l'argumentation présentée par le recourant ne répond pas aux exigences de motivation d'un recours de droit public posées par la loi et la jurisprudence ( art. 90 al. 1 let. b OJ ; ATF 125 I 71 consid. 1c p. 76; 120 Ia 369 consid. 3a et les arrêts cités). En effet, celui-ci se contente d'affirmer, de façon générale, que l'intimé commandait du matériel au nom de son frère et que le décompte du 1er juin 1996 comprenait des montants se référant à de telles opérations, mais sans indiquer précisément quelles étaient les factures visées. Il ne démontre donc pas que la cour cantonale n'ait arbitrairement pas tenu compte des sommes mentionnées dans le décompte à titre de compensation, de sorte que le grief n'est pas recevable.</w:t>
      </w:r>
    </w:p>
    <w:p>
      <w:r>
        <w:t>bb) Le recourant se plaint encore du fait que les juges cantonaux ont considéré qu'il n'avait pas prouvé la valeur du véhicule de marque Peugeot 206 qu'il avait prêté à l'intimé.</w:t>
      </w:r>
    </w:p>
    <w:p>
      <w:r>
        <w:t>Il relève tout d'abord que l'instruction a démontré qu'il avait effectivement prêté un véhicule à son frère. Cet élément n'est nullement contesté et ressort expressément du jugement entrepris, de sorte que l'on ne voit pas en quoi pourrait consister l'arbitraire sur ce point.</w:t>
      </w:r>
    </w:p>
    <w:p>
      <w:r>
        <w:t>Puis, le recourant indique que ce véhicule avait bien une valeur, puisqu'un tiers était disposé à le racheter pour un montant de 4'000 fr., avant d'y renoncer compte tenu de son état dont l'intimé serait du reste à l'origine.</w:t>
      </w:r>
    </w:p>
    <w:p>
      <w:r>
        <w:t>Comme le fait remarquer pertinemment l'intimé, le montant de 4'000 fr. n'a pas été articulé par le tiers qui s'intéressait au véhicule, mais par le recourant lui-même, lors de son interrogatoire du 9 décembre 1998. Il ne s'agit donc que d'un allégué, qui nécessite d'être prouvé. Or, le recourant ne se fonde sur aucun élément de nature à étayer ses dires. Il ressort au contraire du dossier que le tiers concerné a, pour sa part, déclaré ignorer combien valait ce véhicule, qui n'était pas neuf, et ne pas savoir si c'était l'intimé qui l'avait démoli. Quant à l'intimé, il a relevé que le garagiste auquel il avait soumis la Peugeot lui avait confié qu'elle n'avait aucune valeur. Face à ces déclarations divergentes, on ne peut en aucun cas faire grief à la cour cantonale d'avoir arbitrairement retenu que le recourant n'était pas à même de prouver la valeur du véhicule prêté à son frère.</w:t>
      </w:r>
    </w:p>
    <w:p>
      <w:r>
        <w:t>Le recours doit ainsi être rejeté.</w:t>
      </w:r>
    </w:p>
    <w:p>
      <w:r>
        <w:rPr>
          <w:b/>
        </w:rPr>
        <w:t>E. 3</w:t>
      </w:r>
    </w:p>
    <w:p>
      <w:r>
        <w:t>a) Les frais et dépens seront mis à la charge du recourant, qui succombe (art. 156 al. 1 et 159 al. 1 OJ).</w:t>
      </w:r>
    </w:p>
    <w:p>
      <w:r>
        <w:t>b) La requête d'assistance judiciaire de l'intimé, qui en avait déjà bénéficié sur le plan cantonal, doit être admise (cf. art. 152 al. 1 OJ ) dans la mesure où elle n'a pas perdu son objet, car il subsiste un risque pour cette partie de ne pouvoir recouvrer les dépens. Son conseil sera désigné comme avocat d'office et ses honoraires, fixés dans le dispositif du présent arrêt, seront supportés par la caisse du Tribunal fédéral au cas où les dépens ne pourraient pas être recouvrés ( art. 152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