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4P.197/2005 vom 14. Dezember 2005</w:t>
      </w:r>
    </w:p>
    <w:p>
      <w:r>
        <w:t>Bundesgericht, 2005-12-14, FR</w:t>
      </w:r>
    </w:p>
    <w:p>
      <w:r>
        <w:rPr>
          <w:b/>
        </w:rPr>
        <w:t xml:space="preserve">Quelle: </w:t>
      </w:r>
      <w:r>
        <w:t>https://mcp.opencaselaw.ch/entscheid/bger_4P.197_2005</w:t>
      </w:r>
    </w:p>
    <w:p>
      <w:r>
        <w:t>FR: TF 4P.197/2005 du 14 décembre 2005</w:t>
      </w:r>
    </w:p>
    <w:p>
      <w:r>
        <w:t>IT: TF 4P.197/2005 del 14 dicembre 2005</w:t>
      </w:r>
    </w:p>
    <w:p>
      <w:pPr>
        <w:pStyle w:val="Heading2"/>
      </w:pPr>
      <w:r>
        <w:t>Regeste</w:t>
      </w:r>
    </w:p>
    <w:p>
      <w:r>
        <w:t>appréciation des preuves; droit d'être entendu | Procédure civile</w:t>
      </w:r>
    </w:p>
    <w:p>
      <w:pPr>
        <w:pStyle w:val="Heading2"/>
      </w:pPr>
      <w:r>
        <w:t>Erwägungen</w:t>
      </w:r>
    </w:p>
    <w:p>
      <w:r>
        <w:rPr>
          <w:b/>
        </w:rPr>
        <w:t>E. 1</w:t>
      </w:r>
    </w:p>
    <w:p>
      <w:r>
        <w:t>Conformément à l' art. 57 al. 5 OJ , il y a lieu de statuer d'abord sur le recours de droit public.</w:t>
      </w:r>
    </w:p>
    <w:p>
      <w:r>
        <w:rPr>
          <w:b/>
        </w:rPr>
        <w:t>E. 2</w:t>
      </w:r>
    </w:p>
    <w:p>
      <w:r>
        <w:t>Le recours de droit public au Tribunal fédéral peut être exercé contre une décision cantonale pour violation des droits constitutionnels des citoyens ( art. 84 al. 1 let. a OJ ). En règle générale, la décision attaquée doit avoir mis fin à la procédure antérieure ( art. 87 OJ ) et n'être susceptible d'aucun autre recours cantonal ou fédéral apte à redresser l'inconstitutionnalité que l'on dénonce (art. 84 al. 2, 86 al. 1 OJ). Ces exigences sont satisfaites en l'espèce; en particulier, le recours en réforme au Tribunal fédéral n'est pas recevable pour violation des droits constitutionnels ( art. 43 al. 1 OJ ). L'exigence d'un intérêt actuel, pratique et juridiquement protégé à l'annulation de la décision attaquée ( art. 88 OJ ) est également satisfaite; les conditions légales concernant la forme et le délai du recours ( art. 30, 89 et 90 OJ ) sont aussi observées. Saisi d'un recours de droit public, le Tribunal fédéral n'examine que les griefs fondés sur les droits constitutionnels, invoqués et motivés de façon suffisamment détaillée dans l'acte de recours ( art. 90 al. 1 let. b OJ ; ATF 130 I 258 consid. 1.3 p. 261/262; 129 I 113 consid. 2.1; 128 III 50 consid. 1c p. 53). Il statue sur la base des faits constatés dans la décision attaquée, à moins que le recourant ne démontre que la cour cantonale a retenu ou, au contraire, ignoré de manière arbitraire certains faits déterminants ( ATF 118 Ia 20 consid. 5a).</w:t>
      </w:r>
    </w:p>
    <w:p>
      <w:r>
        <w:rPr>
          <w:b/>
        </w:rPr>
        <w:t>E. 3</w:t>
      </w:r>
    </w:p>
    <w:p>
      <w:r>
        <w:t>La recourante soutient que lors de son entrevue avec les intimés, le 19 mars 2003, H.X.________ leur a communiqué le nom des époux T.________. A son avis, la Cour de justice a omis arbitrairement de constater ce fait. Il n'est pas nécessaire de vérifier, à titre préjudiciel, si ledit fait est pertinent au regard du droit fédéral applicable. En effet, la critique de la recourante se révèle de toute manière mal fondée. En ce qui concerne l'appréciation des preuves et la constatation des faits, la juridiction cantonale tombe dans l'arbitraire, et elle viole ainsi l' art. 9 Cst. , lorsque, sans aucune raison sérieuse, elle ne prend pas en considération un élément de preuve propre à modifier la décision, lorsqu'elle se trompe manifestement sur son sens et sa portée, ou encore lorsque, sur la base des éléments recueillis, elle parvient à des constatations insoutenables ( ATF 129 I 8 consid. 2.1 p. 9; voir aussi ATF 130 III 87 consid. 3.3 p. 89/90). La recourante se réfère à une lettre que les intimés ont adressée à son conseil le 17 août 2003, comportant le passage ci-après: « La Régie X.________ SA a fait visiter notre maison à la famille T.________ et cette dernière a fait une offre [...]. M. H.X.________ est venu dans notre restaurant le 19 mars 2003 à 21h00 pour nous communiquer cette offre ». A son avis, il ressort de ce texte que H.X.________ a communiqué l'offre des époux T.________ et aussi le nom de ces derniers. La visite aux intimés avait pour but essentiel de les informer qu'une offre d'achat leur était présentée. Le montant de cette offre constituait un renseignement de première importance et il a été communiqué. Pour le surplus, il est probable que H.X.________ ait aussi rapporté d'autres éléments pourtant moins importants à ce stade de l'affaire, tel que le nom des auteurs de l'offre. Il est toutefois aussi possible que, sur ce point particulier, l'information n'ait pas été transmise lors de la visite au restaurant mais seulement plus tard. Compte tenu que la teneur du document invoqué n'exclut pas cette éventualité, on ne peut pas reprocher à la Cour de justice d'avoir apprécié cet écrit de façon arbitraire.</w:t>
      </w:r>
    </w:p>
    <w:p>
      <w:r>
        <w:rPr>
          <w:b/>
        </w:rPr>
        <w:t>E. 4</w:t>
      </w:r>
    </w:p>
    <w:p>
      <w:r>
        <w:t>Dans les deux instances cantonales, la recourante a soutenu qu'elle avait fourni une activité relevant, en droit, à la fois du courtage d'indication et du courtage de négociation. Elle reproche à la Cour de justice de n'avoir pas pris position sur cette argumentation et d'avoir simplement jugé, sans plus de précision, que « la rémunération [convenue dans le contrat du 19 décembre 2002] ne porte que sur l'activité de courtage d'indication ». A son avis, l'arrêt attaqué est donc insuffisamment motivé. Le droit d'être entendu garanti par l' art. 29 al. 2 Cst. confère à toute personne le droit d'exiger, en principe, qu'un jugement ou une décision défavorable à sa cause soit motivé. L'objet et la précision des indications à fournir dépend de la nature de l'affaire et des circonstances particulières du cas; néanmoins, en règle générale, il suffit que la juridiction cantonale mentionne au moins brièvement les motifs qui l'ont guidée, sans qu'elle soit tenue de répondre à tous les arguments présentés ( ATF 112 Ia 107 consid. 2b p. 109; voir aussi ATF 126 I 97 consid. 2b p. 102, 125 II 369 consid. 2c p. 372, 124 II 146 consid. 2a p. 149). Le passage que la recourante souligne dans l'arrêt attaqué doit être compris en ce sens qu'une activité d'indication suffisait, le cas échéant, à faire naître le droit à la rémunération convenue; il n'était pas nécessaire que la recourante fournît de plus une activité de négociation. En définitive, le droit à la rémunération a été dénié notamment parce que les prestations de la recourante, toutes catégories d'activité confondues, n'étaient pas en rapport de causalité avec le contrat de vente d'immeuble conclu le 18 juillet 2003. La distinction entre les activités d'indication et de négociation n'avait, de ce point de vue, aucune importance. Dans ces conditions, on ne peut pas reprocher à la Cour de justice d'avoir passé sous silence un élément important de son jugement.</w:t>
      </w:r>
    </w:p>
    <w:p>
      <w:r>
        <w:rPr>
          <w:b/>
        </w:rPr>
        <w:t>E. 5</w:t>
      </w:r>
    </w:p>
    <w:p>
      <w:r>
        <w:t>Les griefs soumis au Tribunal fédéral se révèlent l'un et l'autre mal fondés, ce qui entraîne le rejet du recours. A titre de partie qui succombe, son auteur doit acquitter l'émolument judiciaire et les dépens à allouer aux parties qui obtiennent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