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4P.197/2003 vom 16. Januar 2004</w:t>
      </w:r>
    </w:p>
    <w:p>
      <w:r>
        <w:t>Bundesgericht, 2004-01-16, DE</w:t>
      </w:r>
    </w:p>
    <w:p>
      <w:r>
        <w:rPr>
          <w:b/>
        </w:rPr>
        <w:t xml:space="preserve">Quelle: </w:t>
      </w:r>
      <w:r>
        <w:t>https://mcp.opencaselaw.ch/entscheid/bger_4P.197_2003</w:t>
      </w:r>
    </w:p>
    <w:p>
      <w:r>
        <w:t>FR: TF 4P.197/2003 du 16 janvier 2004</w:t>
      </w:r>
    </w:p>
    <w:p>
      <w:r>
        <w:t>IT: TF 4P.197/2003 del 16 gennaio 2004</w:t>
      </w:r>
    </w:p>
    <w:p>
      <w:pPr>
        <w:pStyle w:val="Heading2"/>
      </w:pPr>
      <w:r>
        <w:t>Regeste</w:t>
      </w:r>
    </w:p>
    <w:p>
      <w:r>
        <w:t>Zivilprozess</w:t>
      </w:r>
    </w:p>
    <w:p>
      <w:pPr>
        <w:pStyle w:val="Heading2"/>
      </w:pPr>
      <w:r>
        <w:t>Erwägungen</w:t>
      </w:r>
    </w:p>
    <w:p>
      <w:r>
        <w:rPr>
          <w:b/>
        </w:rPr>
        <w:t>E. 1</w:t>
      </w:r>
    </w:p>
    <w:p>
      <w:r>
        <w:t>Das Obergericht hielt zunächst dafür, der Beschwerdeführer habe ungenügend substanziiert, dass er die zwanzigtägige Appellationsfrist nach § 247 Abs. 1 ZPO /LU eingehalten habe, indem er ohne nähere Angaben über die Umstände der Kenntnisnahme des Urteils und ohne jeglichen Beleg angegeben habe, erstmals am 22. Juli 2002 im Rahmen eines Vollstreckungsverfahrens in Spanien vom Urteil des Amtsgerichts Kenntnis erhalten zu haben. Wer mit einem derartigen Vorbringen, das im Übrigen von der Gegenpartei bestritten werde, rund zwei Jahre nach Fällung und Versand eines Urteils die Einhaltung der Anfechtungsfrist dartun wolle, habe dies analog der prozessualen Vorschrift über die Wiederherstellung einer Frist ( § 90 Abs. 1 ZPO /LU) glaubhaft zu machen. Die blosse Behauptung des Zeitpunkts der Kenntnisnahme reiche dazu nicht aus. Vielmehr hätte der Beschwerdeführer Art und Zeitpunkt der Vollstreckungshandlungen in Spanien, die schon etwa Mitte 2001 eingeleitet worden seien, darlegen und entsprechende Urkunden auflegen müssen, was ihm ohne Weiteres möglich gewesen wäre. Da er dies unterlassen habe, sei mangels Substanziierung der Einhaltung der Appellationsfrist auf das Rechtsmittel nicht einzutreten.</w:t>
      </w:r>
    </w:p>
    <w:p>
      <w:r>
        <w:rPr>
          <w:b/>
        </w:rPr>
        <w:t>E. 2</w:t>
      </w:r>
    </w:p>
    <w:p>
      <w:r>
        <w:t>Der Beschwerdeführer wirft dem Obergericht insoweit eine willkürliche Anwendung des Luzerner Zivilprozessrechts vor. Er macht im Wesentlichen geltend, richtig betrachtet werde bestritten, dass er erst am 22. Juli 2002 vom amtsgerichtlichen Urteil Kenntnis erhalten habe, was auf die Behauptung hinauslaufe, er habe schon vorher entsprechende Kenntnis erlangt. Dazu eine konkrete Behauptung aufzustellen und darzulegen, unter welchen Umständen und im Verlaufe welchen Verfahrens der Beschwerdeführer in den Besitz des Urteils gelangt sei, habe die Beschwerdegegnerin jedoch unterlassen, obwohl sie nach Treu und Glauben dazu gehalten gewesen wäre. Die dergestalt behaupteten Tatsachen hätte die Beschwerdegegnerin auch beweisen müssen, wozu sie ohne Weiteres in der Lage gewesen wäre, da sie das Vollstreckungsverfahren in Spanien geführt habe. Es sei sogar anzunehmen, dass sie den Beleg über die Zustellung des Urteils vom 22. Juli 2000 an den Beschwerdeführer eingesehen habe, da ihr die Akten des Vollstreckungsverfahrens zugänglich seien. Wenn sie dies verschweige, verhalte sie sich treuwidrig.</w:t>
      </w:r>
    </w:p>
    <w:p>
      <w:r>
        <w:rPr>
          <w:b/>
        </w:rPr>
        <w:t>E. 3.1</w:t>
      </w:r>
    </w:p>
    <w:p>
      <w:r>
        <w:t>Bei der Frage der Wahrung der Frist zur Einreichung eines Rechtsmittels handelt es sich um eine Zulässigkeits- oder Prozessvoraussetzung, welche der Richter von Amtes wegen prüft (Studer/Rüegg/ Eiholzer, Der Luzerner Zivilprozess, N 1 zu § 100 ZPO ; allgemein Vogel/Spühler, Grundriss des Zivilprozessrechts, 7. Auflage, 13. Kapitel, Rz. 48 ff. und 57; Habscheid, Schweizerisches Zivilprozess- und Gerichtsorganisationsrecht, 2. Auflage, Rz. 362 und 735). Ist die Appellation verspätet, tritt das Obergericht auf die Appellation nicht ein ( § 248 Abs. 1 ZPO /LU). Ob die Beschwerdegegnerin die Rechtzeitigkeit der Berufung bestritten hat oder nicht, ist somit nicht erheblich, weshalb auf die betreffende Rüge nicht einzugehen ist.</w:t>
      </w:r>
    </w:p>
    <w:p>
      <w:r>
        <w:rPr>
          <w:b/>
        </w:rPr>
        <w:t>E. 3.2</w:t>
      </w:r>
    </w:p>
    <w:p>
      <w:r>
        <w:t>Aus der Pflicht der Gerichte, von Amtes wegen zu prüfen, ob die Prozess- bzw. Rechtsmittelvoraussetzungen erfüllt sind, darf aber nicht geschlossen werden, das Gericht müsse in Verfahren, die der Verhandlungsmaxime folgen, von Amtes wegen nach den Tatsachen forschen, welche die Zulässigkeit einer Rechtsvorkehr begründen. Auch derartige Sachumstände sind vielmehr von den Parteien in den Prozess einzuführen (Kummer, Berner Kommentar, N 16 zu Art. 8 ZGB ; Habscheid, a.a.O., Rz. 362). Für die Fristwahrung im Verfahrensrecht gilt sodann der in Art. 8 ZGB verankerte Grundsatz, wonach derjenige das Vorhandensein der behaupteten Tatsache zu beweisen hat, der aus ihr Rechte ableitet. Wer ein fristgebundenes Recht ausübt, trägt demnach die Beweislast für die fristgerechte Ausübung, d. h. für den Zeitpunkt des Fristbeginns und für den der Rechtsausübung. Die Beweislast für die Rechtzeitigkeit einer Parteihandlung im Verfahren trifft mithin grundsätzlich die Partei, welche diese Handlung vorzunehmen hat. Wenn die Partei jedoch den Beweis der Rechtzeitigkeit aus Gründen nicht erbringen kann, die nicht von ihr, sondern von der Behörde zu vertreten sind, tritt eine Umkehr der Beweislast ein; in diesem Fall hat die Behörde die Beweislast zu tragen ( BGE 92 I 253 E. 3 S. 257, mit Hinweisen).</w:t>
      </w:r>
    </w:p>
    <w:p>
      <w:r>
        <w:rPr>
          <w:b/>
        </w:rPr>
        <w:t>E. 3.3</w:t>
      </w:r>
    </w:p>
    <w:p>
      <w:r>
        <w:t>Dass nach dem einschlägigen Prozessrecht eine von diesen Grundsätzen abweichende Regelung gelten würde, macht der Beschwerdeführer nicht geltend, und er führt keine bestimmte Vorschrift an, welche das Obergericht willkürlich angewandt haben soll. Ebenso wenig beruft er sich darauf, dass er wegen des Verhaltens der Luzerner Gerichte nicht in der Lage gewesen wäre zu belegen, dass er das erstinstanzliche Urteil am 22. Juli 2002 im Rahmen eines in Spanien geführten Vollstreckungsverfahrens erhalten hat. Unter diesen Umständen ist nicht ersichtlich, inwiefern das Obergericht in Willkür verfallen sein soll, wenn es mangels substanziierter Behauptung und fehlenden Belegs betreffend den Zeitpunkt der effektiven Kenntnis vom angefochtenen Urteil annahm, die Appellationsfrist sei nicht eingehalten, und wenn es demzufolge auf die Berufung nicht eintrat. Die Beschwerde ist insoweit unbegründet, auch was den in diesem Zusammenhang erhobenen Vorwurf des überspitzten Formalismus anbelangt.</w:t>
      </w:r>
    </w:p>
    <w:p>
      <w:r>
        <w:rPr>
          <w:b/>
        </w:rPr>
        <w:t>E. 4.1</w:t>
      </w:r>
    </w:p>
    <w:p>
      <w:r>
        <w:t>In einer Zusatzbegründung führt das Obergericht aus, das Amtsgericht habe das Schreiben des Beschwerdeführers vom 16. November 1999 an das Schweizer Konsulat in Barcelona entgegen dessen in der Appellation vertretenen Auffassung zu Recht nach dem im kantonalen Prozessrecht verankerten Grundsatz von Treu und Glauben ( § 57 ZPO /LU) auf Korrespondenz bezogen, die an ihn selbst, nicht an seine Ehefrau, gerichtet ist. Das Amtsgericht habe die vom Beschwerdeführer angegebene Adresse zutreffend als Zustelladresse aufgefasst, und es sei in guten Treuen von deren Fortgeltung ausgegangen, nachdem es einem am 2. Juni 2000 eingetroffenen Schreiben habe entnehmen müssen, dass die Akten dem Beschwerdeführer unter Umständen nicht zugegangen seien, weil eine bekannt gegebene Zustelladresse auch gelte, wenn sie sich in der Folge als untauglich erweise, wobei vorliegend immerhin die erste Zustellung erfolgreich verlaufen sei.</w:t>
      </w:r>
    </w:p>
    <w:p>
      <w:r>
        <w:rPr>
          <w:b/>
        </w:rPr>
        <w:t>E. 4.2</w:t>
      </w:r>
    </w:p>
    <w:p>
      <w:r>
        <w:t>Ob diese Begründung vor Verfassungsrecht standhält, braucht im Hinblick darauf, dass bereits die Hauptbegründung den angefochtenen Entscheid im Ergebnis zu tragen vermag, mangels Rechtsschutzinteresses nicht geprüft zu werden ( Art. 88 OG ; BGE 121 IV 94 E. 1b S. 95; 111 II 397 f. E. 2b S. 397 f., je mit Hinweisen).</w:t>
      </w:r>
    </w:p>
    <w:p>
      <w:r>
        <w:rPr>
          <w:b/>
        </w:rPr>
        <w:t>E. 5</w:t>
      </w:r>
    </w:p>
    <w:p>
      <w:r>
        <w:t>Insgesamt ist die staatsrechtliche Beschwerde abzuweisen, soweit darauf einzutreten ist. Bei diesem Verfahrensausgang wird der Beschwerdeführer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