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4P.189/2005 vom 18. November 2005</w:t>
      </w:r>
    </w:p>
    <w:p>
      <w:r>
        <w:t>Bundesgericht, 2005-11-18, DE</w:t>
      </w:r>
    </w:p>
    <w:p>
      <w:r>
        <w:rPr>
          <w:b/>
        </w:rPr>
        <w:t xml:space="preserve">Quelle: </w:t>
      </w:r>
      <w:r>
        <w:t>https://mcp.opencaselaw.ch/entscheid/bger_4P.189_2005</w:t>
      </w:r>
    </w:p>
    <w:p>
      <w:r>
        <w:t>FR: TF 4P.189/2005 du 18 novembre 2005</w:t>
      </w:r>
    </w:p>
    <w:p>
      <w:r>
        <w:t>IT: TF 4P.189/2005 del 18 novembre 2005</w:t>
      </w:r>
    </w:p>
    <w:p>
      <w:pPr>
        <w:pStyle w:val="Heading2"/>
      </w:pPr>
      <w:r>
        <w:t>Regeste</w:t>
      </w:r>
    </w:p>
    <w:p>
      <w:r>
        <w:t>Art. 9 BV (Zivilprozess) | Zivilprozess</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 Namentlich ändert nichts, dass die Beschwerdeführerin die staatsrechtliche Beschwerde insofern als "subsidiäres Rechtsmittel" behandelt haben will, als sie nur für den Fall "geltend gemacht" werde, dass das Bundesgericht sich für die Beurteilung der ihm vorgelegten Fragen im Rahmen des Berufungsverfahrens für unzuständig erklären und die Beschwerdeführerin auf die staatsrechtliche Beschwerde verweisen sollte. In dieser Situation besteht von vornherein nur dann Anlass, die staatsrechtliche Beschwerde vorweg zu behandeln, wenn auf die eidgenössische Berufung, in der die selben Rechtsverletzungen geltend gemacht werden, eingetreten werden kann (vgl. Messmer/Imboden, Die eidgenössischen Rechtsmittel in Zivilsachen, Zürich 1992, S. 148; BGE 107 II 499 E. 1; 99 II 297 E. 1). Dies ist hier nicht der Fall, wie im Urteil über die in gleicher Sache erhobene Berufung (Verfahren 4C.245/2005) darzulegen sein wird.</w:t>
      </w:r>
    </w:p>
    <w:p>
      <w:r>
        <w:rPr>
          <w:b/>
        </w:rPr>
        <w:t>E. 2</w:t>
      </w:r>
    </w:p>
    <w:p>
      <w:r>
        <w:t>Die staatsrechtliche Beschwerde ist grundsätzlich rein kassatorischer Natur, d.h. sie kann nur zur Aufhebung des angefochtenen Entscheids führen ( BGE 129 I 129 E. 1.2.1 mit Hinweisen). Soweit die Beschwerdeführerin beantragt, die Sache sei zur Neubeurteilung im Sinne der Erwägungen des Bundesgerichts an das Appellationsgericht zurückzuweisen, ist auf die Beschwerde nicht einzutreten.</w:t>
      </w:r>
    </w:p>
    <w:p>
      <w:r>
        <w:rPr>
          <w:b/>
        </w:rPr>
        <w:t>E. 3</w:t>
      </w:r>
    </w:p>
    <w:p>
      <w:r>
        <w:t>Im staatsrechtlichen Beschwerdeverfahren prüft das Bundesgericht nur klar und detailliert erhobene Rügen ( Art. 90 Abs. 1 lit. b OG ). Auf ungenügend begründete Rügen und rein appellatorische Kritik am angefochtenen Entscheid tritt es nicht ein. Macht der Beschwerdeführer - wie hier - eine Verletzung des Willkürverbots geltend, muss er in der Beschwerdeschrift im Einzelnen aufzeigen, inwiefern der Entscheid an einem qualifizierten und offensichtlichen Mangel leidet ( BGE 130 I 258 E. 1.3 S. 261 f. ; 129 I 113 E. 2.1 S. 120, 185 E. 1.6 S. 189 ; 125 I 71 E.1c, 492 E. 1b). Dabei ist zu beachten, dass Willkür im Sinne von Art. 9 BV nach ständiger Rechtsprechung nicht schon dann vorliegt,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 BGE 129 I 8 E. 2.1 mit Hinweisen).</w:t>
      </w:r>
    </w:p>
    <w:p>
      <w:r>
        <w:rPr>
          <w:b/>
        </w:rPr>
        <w:t>E. 4</w:t>
      </w:r>
    </w:p>
    <w:p>
      <w:r>
        <w:t>Diesen Begründungsanforderungen wird die Beschwerdeführerin nicht gerecht. Sie breitet in ihrer Beschwerdeschrift die eigene Darstellung des Sachverhalts aus (vgl. dazu BGE 118 Ia 20 E. 5a) und übt appellatorische Kritik am angefochtenen Urteil. Dabei setzt sie sich nicht in rechtsgenüglicher Weise mit den Erwägungen des Appellationsgerichts auseinander und zeigt die den Willkürvorwurf begründenden Elemente nicht auf. Mit der blossen Behauptung, das Appellationsgericht verletze Art. 9 BV , weil es in willkürlicher Weise das mietvertragliche Rechtsbegehren in ein arbeitsrechtliches Rechtsanliegen uminterpretiert habe, verfehlt sie die Begründungsanforderungen an eine Willkürrüge. Inwiefern die kantonalen Bestimmungen über die sachliche Zuständigkeit willkürlich angewendet wurden, wird nicht aufgezeigt. Ebenso wenig hilft der Beschwerdeführerin der Hinweis auf Art. 84 Abs. 1 lit. d OG weiter, zumal vorliegend nicht die Verletzung einer bundesrechtlichen Vorschrift über die Abgrenzung der sachlichen Zuständigkeit in Frage steht, wie im Urteil über die in gleicher Sache erhobene Berufung darzulegen sein wird. Ohnehin ist der Anwendungsbereich der Zuständigkeitsbeschwerde nach Art. 84 Abs. 1 lit. d OG wegen der absoluten Subsidiarität der staatsrechtlichen Beschwerde ( Art. 84 Abs. 2 OG ) eingeschränkt (Rhinow/Koller/Kiss, Öffentliches Prozessrecht und Justizverfassungsrecht des Bundes, Basel 1996, Rz. 1835). In Zivilsachen ist die Verletzung bundesrechtlicher Zuständigkeitsvorschriften mit Berufung bzw. mit zivilrechtlicher Nichtigkeitsbeschwerde geltend zu machen (Art. 43 Abs. 1, 49, 68 Abs. 1 lit. e OG).</w:t>
      </w:r>
    </w:p>
    <w:p>
      <w:r>
        <w:rPr>
          <w:b/>
        </w:rPr>
        <w:t>E. 5</w:t>
      </w:r>
    </w:p>
    <w:p>
      <w:r>
        <w:t>Mangels rechtsgenüglicher Begründung kann auf die staatsrechtliche Beschwerde nicht eingetreten werden. Dem Verfahrensausgang entsprechend geht die Gerichtsgebühr zulasten der Beschwerdeführerin, die zudem die Beschwerdegegner für das bundesgerichtliche Verfahren zu entschädigen hat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