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4P.184/2005 vom 30. September 2005</w:t>
      </w:r>
    </w:p>
    <w:p>
      <w:r>
        <w:t>Bundesgericht, 2005-09-30, DE</w:t>
      </w:r>
    </w:p>
    <w:p>
      <w:r>
        <w:rPr>
          <w:b/>
        </w:rPr>
        <w:t xml:space="preserve">Quelle: </w:t>
      </w:r>
      <w:r>
        <w:t>https://mcp.opencaselaw.ch/entscheid/bger_4P.184_2005</w:t>
      </w:r>
    </w:p>
    <w:p>
      <w:r>
        <w:t>FR: TF 4P.184/2005 du 30 septembre 2005</w:t>
      </w:r>
    </w:p>
    <w:p>
      <w:r>
        <w:t>IT: TF 4P.184/2005 del 30 settembre 2005</w:t>
      </w:r>
    </w:p>
    <w:p>
      <w:pPr>
        <w:pStyle w:val="Heading2"/>
      </w:pPr>
      <w:r>
        <w:t>Regeste</w:t>
      </w:r>
    </w:p>
    <w:p>
      <w:r>
        <w:t>Art. 9 BV (Zivilprozess) | Zivilprozess</w:t>
      </w:r>
    </w:p>
    <w:p>
      <w:pPr>
        <w:pStyle w:val="Heading2"/>
      </w:pPr>
      <w:r>
        <w:t>Erwägungen</w:t>
      </w:r>
    </w:p>
    <w:p>
      <w:r>
        <w:rPr>
          <w:b/>
        </w:rPr>
        <w:t>E. 1</w:t>
      </w:r>
    </w:p>
    <w:p>
      <w:r>
        <w:t>Die Beschwerdeführerin beantragt, das Verfahren sei als staatsrechtliche Beschwerde oder als zivilrechtliche Berufung zu führen. In ihrer Eingabe vom 4. Juli 2005 rügt sie eine willkürliche Anwendung von Art. 173 und Art. 177 ZPO -SH sowie eine willkürliche Festlegung der Kostenfolgen. Mit Blick darauf ist die Eingabe als staatsrechtliche Beschwerde zu behandeln.</w:t>
      </w:r>
    </w:p>
    <w:p>
      <w:r>
        <w:rPr>
          <w:b/>
        </w:rPr>
        <w:t>E. 2</w:t>
      </w:r>
    </w:p>
    <w:p>
      <w:r>
        <w:t>Die staatsrechtliche Beschwerde ist grundsätzlich rein kassatorischer Natur, d.h. sie kann nur zur Aufhebung des angefochtenen Entscheids führen ( BGE 129 I 129 E. 1.2.1 S. 131 f. mit Hinweisen). Soweit die Beschwerdeführerin beantragt, das Verfahren sei an die Vorinstanz zurückzuweisen, ist auf die Beschwerde nicht einzutreten.</w:t>
      </w:r>
    </w:p>
    <w:p>
      <w:r>
        <w:rPr>
          <w:b/>
        </w:rPr>
        <w:t>E. 3</w:t>
      </w:r>
    </w:p>
    <w:p>
      <w:r>
        <w:t>Beim angefochtenen Entscheid handelt es sich um einen Zwischenentscheid, schliesst er doch, indem er die Streitsache "zur Weiterführung des Verfahrens" an das Kantonsgericht zurückweist, das kantonale Verfahren nicht ab. Gegen Zwischenentscheide der vorliegenden Art ist die staatsrechtliche Beschwerde nur dann zulässig, wenn sie einen nicht wiedergutzumachenden Nachteil bewirken können ( Art. 87 Abs. 2 OG ). Der Nachteil muss rechtlicher Natur sein ( BGE 131 I 57 E. 1; 129 III 107 E. 1.2.1 S. 110 ; 128 I 177 E. 1.1). Rückweisungsentscheide oberer kantonaler Instanzen an untere gelten nach ständiger Rechtsprechung als Zwischenentscheide, die grundsätzlich keinen nicht wiedergutzumachenden Nachteil bewirken ( BGE 129 I 313 E. 3.2. S. 317).</w:t>
      </w:r>
    </w:p>
    <w:p>
      <w:r>
        <w:rPr>
          <w:b/>
        </w:rPr>
        <w:t>E. 3.1</w:t>
      </w:r>
    </w:p>
    <w:p>
      <w:r>
        <w:t>Das Obergericht hat im angefochtenen Entscheid die Beschwerdegegnerin anstelle der irrtümlich in eigenem Namen klagenden, jedoch nicht mit eigener Rechtspersönlichkeit ausgestatteten Verwaltungseinheiten als Klägerin anerkannt. Die Beschwerdeführerin macht zu Recht nicht geltend, daraus erwachse ihr ein rechtlicher Nachteil. Die Lage ist namentlich anders als in BGE 131 I 57 , in welchem eine Partei, die bisher am Verfahren beteiligt war, durch eine andere ersetzt wurde (Parteiwechsel) mit der Folge, dass erstere Partei gegen ihren Willen vom Prozess ausgeschlossen wurde.</w:t>
      </w:r>
    </w:p>
    <w:p>
      <w:r>
        <w:rPr>
          <w:b/>
        </w:rPr>
        <w:t>E. 3.2</w:t>
      </w:r>
    </w:p>
    <w:p>
      <w:r>
        <w:t>Die Beschwerdeführerin ist der Meinung, ein nicht wiedergutzumachender Nachteil "wäre" anzunehmen, wenn "die Entscheidung des Obergerichts über die Rechtsnatur der Forderung (zivilrechtlich/öffentlichrechtlich) als abschliessend zu qualifizieren wäre" und - damit zusammenhängend - wenn "mit dem Entscheid des Obergerichts definitiv die Zuständigkeit der Zivilgerichte begründet würde". Mit diesem nicht näher begründeten Vorbringen ist nicht dargetan, welche rechtlichen Nachteile die Beschwerdeführerin durch den angefochtenen Rückweisungsentscheid erleiden könnte. Im Übrigen hat die Beschwerdeführerin vor Obergericht selbst die Auffassung vertreten, der Vertrag vom 28. August 2000 sei privatrechtlicher Natur, und sie hat in ihrer Klagantwort vom 23. Oktober 2003 die Zuständigkeit des Kantonsgerichts ausdrücklich anerkannt, sich mithin vorbehaltlos eingelassen.</w:t>
      </w:r>
    </w:p>
    <w:p>
      <w:r>
        <w:rPr>
          <w:b/>
        </w:rPr>
        <w:t>E. 3.3</w:t>
      </w:r>
    </w:p>
    <w:p>
      <w:r>
        <w:t>Einen nicht wieder gutzumachenden Nachteil scheint die Beschwerdeführerin sodann darin zu erblicken, dass sie im angefochtenen Entscheid mit den Kosten des obergerichtlichen Verfahrens belastet und zur Leistung einer Parteientschädigung verpflichtet wurde. Dem ist nicht beizupflichten. Der Entscheid über die Kosten- und Entschädigungsfolgen in einem Rückweisungsentscheid stellt seinerseits einen Zwischenentscheid dar, der grundsätzlich keinen nicht wiedergutzumachenden Nachteil zur Folge hat. Er kann vor Bundesgericht erst nach Erschöpfung des kantonalen Instanzenzuges angefochten werden, zusammen mit dem neuen Entscheid in der Sache selber oder für sich allein, wenn das rechtlich geschützte Interesse des Betroffenen in der Sache selber im Laufe des kantonalen Verfahrens dahinfallen sollte ( BGE 131 III 404 E. 3.3 ; 122 I 39 ; 117 Ia 251 ).</w:t>
      </w:r>
    </w:p>
    <w:p>
      <w:r>
        <w:rPr>
          <w:b/>
        </w:rPr>
        <w:t>E. 3.4</w:t>
      </w:r>
    </w:p>
    <w:p>
      <w:r>
        <w:t>Der angefochtene Zwischenentscheid bewirkt für die Beschwerdeführerin weder durch die Rückweisung der Sache zur Weiterführung des Verfahrens noch durch die Kostenregelung einen nicht wiedergutzumachenden Nachteil im Sinn von Art. 87 Abs. 2 OG . Auf die Beschwerde ist daher nicht einzutreten. Sofern die Beschwerdeführerin geltend machen möchte, der angefochtene Entscheid, mit dem das Obergericht festhielt, dass es sich um eine zivilrechtliche Streitigkeit handelt, die vor den Zivilgerichten auszutragen ist, stelle einen selbständig eröffneten Zwischenentscheid über die Zuständigkeit dar, gegen den die staatsrechtliche Beschwerde nach Art. 87 Abs. 1 OG zulässig sei, ohne dass ein nicht wiedergutzumachender Nachteil dargetan werden muss, so könnte auch darauf von vornherein nicht eingetreten werden; denn die Beschwerdeführerin lässt es insofern an jeglicher Begründung missen und verfehlt mithin die Anforderungen von Art. 90 Abs. 1 lit. b OG .</w:t>
      </w:r>
    </w:p>
    <w:p>
      <w:r>
        <w:rPr>
          <w:b/>
        </w:rPr>
        <w:t>E. 4</w:t>
      </w:r>
    </w:p>
    <w:p>
      <w:r>
        <w:t>Auf die staatsrechtliche Beschwerde kann nicht eingetreten werden. Bei diesem Verfahrensausgang wird die Beschwerdeführerin kostenpflichtig ( Art. 156 Abs. 1 OG ). Bei der Bemessung der Gerichtsgebühr ist dem Umstand Rechnung zu tragen, dass das Gericht sich mit den materiellen Einwänden gegen den angefochtenen Zwischenentscheid nicht zu befassen hatte. Der obsiegenden Beschwerdegegnerin (Stadt B.________) ist, obschon sie im bundesgerichtlichen Verfahren durch einen Rechtsanwalt vertreten wird, gestützt auf Art. 159 Abs. 2 OG - der nach der Praxis auch im Verfahren der staatsrechtlichen Beschwerde Anwendung findet - keine Parteientschädigung zuzusprechen. Eine Ausnahme von dieser Regel rechtfertigt sich nur bei kleineren und mittleren Gemeinwesen, die über keinen Rechtsdienst verfügen und daher auf einen Rechtsanwalt angewiesen sind (Poudret, Commentaire de la loi fédérale d'organisation judiciaire, Bern 1992, N. 3 zu Art. 159 OG S. 161 f.). Bei der Stadt B.________ trifft dies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