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4P.17/2006 vom 2. Mai 2006</w:t>
      </w:r>
    </w:p>
    <w:p>
      <w:r>
        <w:t>Bundesgericht, 2006-05-02, FR</w:t>
      </w:r>
    </w:p>
    <w:p>
      <w:r>
        <w:rPr>
          <w:b/>
        </w:rPr>
        <w:t xml:space="preserve">Quelle: </w:t>
      </w:r>
      <w:r>
        <w:t>https://mcp.opencaselaw.ch/entscheid/bger_4P.17_2006</w:t>
      </w:r>
    </w:p>
    <w:p>
      <w:r>
        <w:t>FR: TF 4P.17/2006 du 2 mai 2006</w:t>
      </w:r>
    </w:p>
    <w:p>
      <w:r>
        <w:t>IT: TF 4P.17/2006 del 2 maggio 2006</w:t>
      </w:r>
    </w:p>
    <w:p>
      <w:pPr>
        <w:pStyle w:val="Heading2"/>
      </w:pPr>
      <w:r>
        <w:t>Regeste</w:t>
      </w:r>
    </w:p>
    <w:p>
      <w:r>
        <w:t>art. 9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Le Tribunal fédéral examine d'office et librement la recevabilité des recours qui lui sont soumis ( ATF 131 III 667 consid. 1 p. 668; 131 V 202 consid. 1).</w:t>
      </w:r>
    </w:p>
    <w:p>
      <w:r>
        <w:rPr>
          <w:b/>
        </w:rPr>
        <w:t>E. 2.1</w:t>
      </w:r>
    </w:p>
    <w:p>
      <w:r>
        <w:t>Sous réserve de quelques points, le contenu des deux écritures du recourant est rigoureusement identique. Dans sa jurisprudence, le Tribunal fédéral a qualifié d'abusif le procédé consistant à déposer deux recours, dans des écritures certes distinctes, mais en mélangeant les griefs propres à une voie avec ceux propres à l'autre ( ATF 116 II 92 consid. 1; 115 II 396 consid. 2a).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(arrêt 4P.227/2004 du 20 janvier 2005, consid. 2 et l'arrêt cité).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Le cas d'espèce semble à la limite de l'irrecevabilité au vu de la jurisprudence susmentionnée. Il n'est toutefois pas nécessaire de trancher la question, dès lors que, comme on le verra, les griefs invoqués sont manifestement dépourvus de fondement.</w:t>
      </w:r>
    </w:p>
    <w:p>
      <w:r>
        <w:rPr>
          <w:b/>
        </w:rPr>
        <w:t>E. 2.2</w:t>
      </w:r>
    </w:p>
    <w:p>
      <w:r>
        <w:t>Exercé en temps utile compte tenu des féries ( art. 34 al. 1 let . c et 89 al. 1 OJ), dans la forme prévue par la loi ( art. 90 al. 1 OJ ), pour violation de droits constitutionnels des citoyens ( art. 84 al. 1 let. a OJ ), contre une décision finale prise en dernière instance cantonale ( art. 86 al. 1 OJ ), par une partie qui est personnellement touchée par la décision attaquée ( art. 88 OJ ), le recours soumis à l'examen du Tribunal fédéral est en principe recevable.</w:t>
      </w:r>
    </w:p>
    <w:p>
      <w:r>
        <w:rPr>
          <w:b/>
        </w:rPr>
        <w:t>E. 2.3</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2.4</w:t>
      </w:r>
    </w:p>
    <w:p>
      <w:r>
        <w:t>Vu sa nature cassatoire, le recours de droit public ne peut, sauf exceptions non réalisées en l'espèce, tendre qu'à l'annulation de la décision attaquée ( ATF 131 I 291 consid. 1.4; 131 III 334 consid. 6 p. 343), de sorte que les conclusions du recourant visant à la condamnation de l'intimé à lui payer certaines sommes et au renvoi de l'affaire à la cour cantonale pour nouvelle décision sont irrecevables.</w:t>
      </w:r>
    </w:p>
    <w:p>
      <w:r>
        <w:rPr>
          <w:b/>
        </w:rPr>
        <w:t>E. 3</w:t>
      </w:r>
    </w:p>
    <w:p>
      <w:r>
        <w:t>Le recourant se plaint d'une appréciation arbitraire des faits et moyens de preuve ayant conduit les premiers juges à rendre une décision erronée concernant le montant du dommage subi.</w:t>
      </w:r>
    </w:p>
    <w:p>
      <w:r>
        <w:rPr>
          <w:b/>
        </w:rPr>
        <w:t>E. 3.1</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129 I 8 consid. 2.1). Pour qu'une décision soit annulée pour cause d'arbitraire, il ne suffit pas que la motivation formulée soit insoutenable, il faut encore que la décision apparaisse arbitraire dans son résultat ( ATF 131 I 217 consid. 2.1; 129 I 8 consid. 2.1). Il appartient à la partie recourante de démontrer, par une argumentation précise, en quoi la décision incriminée est arbitraire ( ATF 130 I 258 consid. 1.3 p. 262). En matière d'appréciation des preuves et d'établissement des faits,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130 I 337 consid. 5.4.2 p. 345 s.; 129 I 49 consid. 4 p. 57 s.).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Si, en revanche,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130 I 337 consid. 5.4.2 p. 346; 128 I 81 consid. 2 p. 86).</w:t>
      </w:r>
    </w:p>
    <w:p>
      <w:r>
        <w:rPr>
          <w:b/>
        </w:rPr>
        <w:t>E. 3.2</w:t>
      </w:r>
    </w:p>
    <w:p>
      <w:r>
        <w:t>Le recourant reproche à la cour cantonale de s'être fondée uniquement sur les éléments figurant sur sa taxation fiscale pour arrêter son dommage et de ne pas avoir motivé son refus de prendre pour référence les dispositions relatives aux indemnités dues par l'Etat en cas de dommages causés aux cultures par le gibier ou la grêle. Ainsi, il serait faux de partir du montant du bénéfice net réalisé, de le diviser par la surface totale effectivement exploitée et de multiplier le résultat par les 56,4 ares non exploités. Estimer que le bénéfice net augmente proportionnellement à l'augmentation du chiffre d'affaires serait erroné d'un point de vue comptable. Ce qui augmenterait proportionnellement au chiffre d'affaires serait la marge sur coûts variables. La marge ainsi dégagée couvrirait les charges fixes et permettrait, ces dernières assumées, de réaliser un profit. La méthode adoptée par la cour cantonale reviendrait à ne pas tenir compte de la spécificité des différents types de charge - fixes ou variables - qui existent. Les charges fixes n'augmenteraient pas proportionnellement et resteraient stables malgré une modification du chiffre d'affaires, que le recourant cultive ou non 56,4 ares de plus. Il faudrait donc bien se reposer sur l'augmentation de la marge (chiffre d'affaires moins charges variables) comme mentionné dans le rapport d'expertise et retenir le calcul du dommage effectué par l'expert et à l'art. 2 du Barème pour le calcul de l'indemnité due par l'Etat en cas de dommages causés aux cultures et aux pâturages par certaines espèces de gibier (ci-après: le Barème), soit 25'000 fr. Dès lors, l'on pouvait repartir du bénéfice net pris en considération par la cour cantonale pour établir le dommage en lui additionnant les différentes charges fixes retenues. Cette addition donnerait la marge qui augmente proportionnellement au chiffre d'affaires. Le calcul ainsi effectué rejoindrait les montants estimés par l'expert: soit 19'000 fr. (chiffres pour 2001) bénéfice net d'exploitation, auxquels seraient additionnés 17'300 fr. (amortissements), 5'024 fr. (primes d'assurances), 23'546 fr. (location et intérêts), soit un total de 64'780 fr. Ce total de marge pour 145'000 m2 représenterait une marge de 0,45 par m2, soit pour 5640 m2, un manque à gagner de 2'519 fr. par année, et donc un total de 25'200 fr. pour dix ans.</w:t>
      </w:r>
    </w:p>
    <w:p>
      <w:r>
        <w:rPr>
          <w:b/>
        </w:rPr>
        <w:t>E. 3.3</w:t>
      </w:r>
    </w:p>
    <w:p>
      <w:r>
        <w:t>Si la motivation présentée par la cour cantonale est certes relativement succincte, elle permet néanmoins de comprendre que celle-ci a écarté l'expertise en raison du fait qu'elle reposait sur des critères abstraits, soit des tarifs recommandés, et ne reflétait par conséquent pas la situation économique effective du recourant. Elle s'est dès lors fondée sur d'autres éléments de preuve, en l'occurrence les déclarations fiscales de celui-ci, ce qu'elle pouvait faire sans arbitraire dans le cadre de son libre pouvoir d'appréciation des preuves. Pour le surplus, si la méthode de calcul adoptée par la cour cantonale est empreinte d'un certain schématisme, elle n'en est pas pour autant arbitraire, ce d'autant moins que le recourant n'a pas allégué - ce qui ne ressort pas de l'état de fait tel qu'il a été retenu dans l'arrêt entrepris, sans que le recourant ne s'en soit plaint - les éléments chiffrés qui auraient permis, à supposer que sa théorie comptable soit exacte, de calculer, pour chaque année, le montant exact de son dommage effectif. Enfin, l'on ne voit pas non plus que la cour cantonale ait commis arbitraire en considérant qu'elle n'était pas liée par les chiffres découlant du Barème, dont la finalité est toute autre que la réparation du dommage encouru dans le contexte d'une responsabilité contractuelle, en l'occurrence du fermier à raison d'un défaut de la chose affermée. Cela ne semble d'ailleurs pas avoir échappé au recourant qui, dans l'une de ses écritures cantonales, a relevé " à titre informatif" que le taux de rendement annuel de 50 fr. par ares dont il se prévalait correspondait aux indemnités versées par l'Etat en cas de dommages aux cultures.</w:t>
      </w:r>
    </w:p>
    <w:p>
      <w:r>
        <w:rPr>
          <w:b/>
        </w:rPr>
        <w:t>E. 3.4</w:t>
      </w:r>
    </w:p>
    <w:p>
      <w:r>
        <w:t>Il s'ensuit que l'arrêt attaqué résiste au grief d'arbitraire, de sorte que le recours doit être rejeté dans la mesure de sa recevabilité.</w:t>
      </w:r>
    </w:p>
    <w:p>
      <w:r>
        <w:rPr>
          <w:b/>
        </w:rPr>
        <w:t>E. 4</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