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4P.173/2003 vom 8. Dezember 2003</w:t>
      </w:r>
    </w:p>
    <w:p>
      <w:r>
        <w:t>Bundesgericht, 2003-12-08, FR</w:t>
      </w:r>
    </w:p>
    <w:p>
      <w:r>
        <w:rPr>
          <w:b/>
        </w:rPr>
        <w:t xml:space="preserve">Quelle: </w:t>
      </w:r>
      <w:r>
        <w:t>https://mcp.opencaselaw.ch/entscheid/bger_4P.173_2003</w:t>
      </w:r>
    </w:p>
    <w:p>
      <w:r>
        <w:t>FR: TF 4P.173/2003 du 8 décembre 2003</w:t>
      </w:r>
    </w:p>
    <w:p>
      <w:r>
        <w:t>IT: TF 4P.173/2003 del 8 dicembre 2003</w:t>
      </w:r>
    </w:p>
    <w:p>
      <w:pPr>
        <w:pStyle w:val="Heading2"/>
      </w:pPr>
      <w:r>
        <w:t>Regeste</w:t>
      </w:r>
    </w:p>
    <w:p>
      <w:r>
        <w:t>Procédure civile</w:t>
      </w:r>
    </w:p>
    <w:p>
      <w:pPr>
        <w:pStyle w:val="Heading2"/>
      </w:pPr>
      <w:r>
        <w:t>Erwägungen</w:t>
      </w:r>
    </w:p>
    <w:p>
      <w:r>
        <w:rPr>
          <w:b/>
        </w:rPr>
        <w:t>E. 1.1</w:t>
      </w:r>
    </w:p>
    <w:p>
      <w:r>
        <w:t>Aux termes de l' art. 194 LDIP , la reconnaissance et l'exécution des sentences arbitrales étrangères sont régies par la Convention de New York du 10 juin 1958 pour la reconnaissance et l'exécution des sentences arbitrales étrangères (RS 0.277.12). S'agissant d'un traité international, les décisions cantonales rendues en application de ladite Convention sont susceptibles d'un recours de droit public pour violation des traités internationaux ( art. 84 al. 1 let . c OJ), à l'exclusion de tout autre recours ( art. 84 al. 2 OJ ; ATF 126 III 534 consid. 1a et les arrêts cités).</w:t>
      </w:r>
    </w:p>
    <w:p>
      <w:r>
        <w:rPr>
          <w:b/>
        </w:rPr>
        <w:t>E. 1.2</w:t>
      </w:r>
    </w:p>
    <w:p>
      <w:r>
        <w:t>En raison des exigences de motivation posées par l' art. 90 al. 1 let. b OJ , la recourante, en se fondant sur la décision attaquée, devait indiquer quelle disposition du traité avait été violée, à son avis, en précisant en quoi consistait la violation ( ATF 126 III 534 consid. 1b et les arrêts cités).</w:t>
      </w:r>
    </w:p>
    <w:p>
      <w:r>
        <w:rPr>
          <w:b/>
        </w:rPr>
        <w:t>E. 1.3</w:t>
      </w:r>
    </w:p>
    <w:p>
      <w:r>
        <w:t>Saisi d'un recours fondé sur l' art. 84 al. 1 let . c OJ, le Tribunal fédéral examine librement, dans le cadre des moyens invoqués, si une convention internationale a été violée ( ATF 108 Ib 85 consid. 2a); lorsque la décision attaquée émane d'une autorité judiciaire, sa cognition est, en revanche, limitée à l'arbitraire en ce qui concerne l'examen des faits, les nova n'étant en conséquence pas admis ( ATF 129 I 110 consid 1.1). Conformément à ces principes, le Tribunal fédéral examinera librement si la décision entreprise, qui a été rendue par la juridiction supérieure du canton de Genève, emporte violation des dispositions de la Convention de New York invoquées par la recourante. Cependant, il ne reverra que sous l'angle de l'arbitraire les constatations de fait de la cour cantonale, à supposer qu'elles fassent l'objet de critiques de la part de la recourante.</w:t>
      </w:r>
    </w:p>
    <w:p>
      <w:r>
        <w:rPr>
          <w:b/>
        </w:rPr>
        <w:t>E. 2</w:t>
      </w:r>
    </w:p>
    <w:p>
      <w:r>
        <w:t>Selon l'art. IV ch. 1 let. b de la Convention de New York, en liaison avec l'art. II du même traité, la partie qui se prévaut d'une sentence arbitrale étrangère ne peut en obtenir la reconnaissance et l'exécution qu'à la condition de produire l'original de la clause compromissoire ou du compromis liant les parties, ou une copie réunissant les conditions requises pour son authenticité. Dans le cas présent, les intimées ont remis au juge du Tribunal de première instance une photocopie de la clause compromissoire ne respectant pas la lettre de cette disposition. Toutefois, en appel, elles ont apporté l'original du contrat du 6 octobre 1999 contenant la clause compromissoire litigieuse. Les intimées ont ainsi produit la pièce requise par la disposition citée. Savoir si l'original de la clause compromissoire pouvait être produit en appel, alors que seule une copie du contrat incluant cette clause avait été produite en première instance est une question qui relève de la procédure cantonale. La Cour de justice reconnaît que la production de pièces nouvelles en appel n'est pas admise par le droit de procédure genevois. Elle considère, toutefois, qu'elle verserait dans le formalisme excessif en refusant la production de la pièce susvisée, alors que l'authenticité de celle-ci n'est pas contestée et qu'une copie a été produite en première instance. Il est évident que l'application du droit cantonal est limitée par l'interdiction du formalisme excessif. La recourante ne soutient pas que le droit constitutionnel prohibant le formalisme excessif aurait été mal appliqué en l'espèce, de sorte qu'il n'y a pas lieu d'examiner cette question ( art. 90 al. 1 let. b OJ ). Dès lors que la cour cantonale était en possession de l'original du contrat contenant la clause compromissoire, au moment de statuer, elle n'a pas accordé l'exequatur en violation de l'art. IV ch. 1 let. b de la Convention de New York.</w:t>
      </w:r>
    </w:p>
    <w:p>
      <w:r>
        <w:rPr>
          <w:b/>
        </w:rPr>
        <w:t>E. 3.1</w:t>
      </w:r>
    </w:p>
    <w:p>
      <w:r>
        <w:t>En vertu de l'art. V ch. 1 let. e de la Convention de New York, l'exequatur d'une sentence arbitrale doit être refusé si la partie qui s'y oppose fournit la preuve que la sentence n'est pas encore devenue obligatoire pour les parties ou a été annulée ou suspendue par une autorité compétente du pays dans lequel, ou d'après la loi duquel, la sentence a été rendue. L'exequatur sera donc refusé lorsque la sentence peut encore faire l'objet d'un recours ordinaire devant un tribunal étatique, lorsqu'elle a été déclarée nulle ou annulée dans l'état d'origine ou lorsque l'effet suspensif a été accordé à un recours en nullité par l'autorité compétente (pour plus de détails, cf., parmi d'autres, Paolo Michele Patocchi/Cesare Jermini, in Commentaire bâlois, n. 116 ss ad art. 194 LDIP ). C'est à la partie qui s'oppose à l'exequatur d'apporter la preuve de l'un des motifs de refus, au sens de la disposition susmentionnée ( ATF 110 Ib 191 consid. 2c p. 195 et les arrêts cités; Andreas Bucher, Die neue internationale Schiedsgerichtsbarkeit in der Schweiz, p. 156 n. 437). A cet effet, il lui appartiendra, le cas échéant, d'établir le contenu du droit étranger ( ATF 108 Ib 85 consid. 3 p. 88; Patocchi/Jermini, op. cit., n. 114 ad art. 194 LDIP ). Pour obtenir l'exécution de la sentence, il n'est pas nécessaire que celle-ci soit exécutoire dans le pays d'origine; il suffit qu'elle soit susceptible d'obtenir l'exequatur dans l'Etat requis de l'exécuter, la Convention de New York voulant éviter le "double exequatur" ( ATF 108 Ib 85 consid. 4e p. 91 et les références; Frédéric-Edouard Klein, La Convention de New York pour la reconnaissance et l'exécution des sentences arbitrales étrangères, in: RSJ 57/1961, p. 248 n. 15; Andreas Bucher, op. cit., p. 160 n. 451).</w:t>
      </w:r>
    </w:p>
    <w:p>
      <w:r>
        <w:rPr>
          <w:b/>
        </w:rPr>
        <w:t>E. 3.2</w:t>
      </w:r>
    </w:p>
    <w:p>
      <w:r>
        <w:t>En l'espèce, la cour cantonale relève que les effets de la sentence partielle du 2 mai 2002 n'ont pas été suspendus par l'autorité arbitrale. Elle souligne, en outre, que le recours dirigé contre la sentence finale du 23 décembre 2002 ne remettait pas en cause le caractère obligatoire de la sentence partielle précédente, ajoutant que la recourante n'a pas démontré qu'un effet suspensif fût attaché audit recours. Pour étayer son grief, la recourante se borne à soutenir que le droit anglais permet de recourir contre une sentence arbitrale et qu'un tel recours empêche ipso jure l'entrée en force de la sentence. Elle ne fournit cependant pas un début de preuve à l'appui de cette thèse. En particulier, elle ne démontre nullement que le recours au juge étatique anglais revêtirait un caractère ordinaire ni, à ce défaut, que la juridiction anglaise saisie de ce recours lui aurait octroyé l'effet suspensif. Le moyen tiré de la violation de l'art. V ch. 1 let. e de la Convention de New York doit, en conséquence, être rejeté.</w:t>
      </w:r>
    </w:p>
    <w:p>
      <w:r>
        <w:rPr>
          <w:b/>
        </w:rPr>
        <w:t>E. 4</w:t>
      </w:r>
    </w:p>
    <w:p>
      <w:r>
        <w:t>La recourante voit également une violation de l'art. V ch. 2 let. b de la Convention de New York, soit une violation de l'ordre public suisse, dans le fait que l'arbitre unique, en rendant une sentence en cours de procédure, le 2 mai 2002, a condamné la recourante à une partie des dépens au fond et au remboursement de l'avance de frais opérée par les intimées, avant même d'avoir rendu la sentence finale. Un tel comportement préjugerait de la décision au fond, rendant illusoires les actes de procédure postérieurs à la sentence partielle et heurtant les "principes les plus élémentaires de (l') ordre juridique, parmi lesquels le droit d'être entendu".</w:t>
      </w:r>
    </w:p>
    <w:p>
      <w:r>
        <w:rPr>
          <w:b/>
        </w:rPr>
        <w:t>E. 4.1</w:t>
      </w:r>
    </w:p>
    <w:p>
      <w:r>
        <w:t>Aux termes de l'art. V ch. 2 let. b de la Convention de New York,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II 625 consid. 4a p. 630 et les références).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 ATF 126 III 101 consid. 3b p. 107/108; 122 III 344 consid. 4a p. 348/349 et les références). Ces principes s'appliquent également en matière de reconnaissance et d'exécution de sentences arbitrales étrangères ( ATF 101 Ia 521 consid. 4a et les références).</w:t>
      </w:r>
    </w:p>
    <w:p>
      <w:r>
        <w:rPr>
          <w:b/>
        </w:rPr>
        <w:t>E. 4.2</w:t>
      </w:r>
    </w:p>
    <w:p>
      <w:r>
        <w:t>En l'espèce, la recourante fait grief à la cour cantonale d'avoir confirmé le prononcé d'exequatur de la sentence partielle au mépris de son droit d'être entendue. En effet, l'arbitre unique aurait méconnu ce droit en statuant, dans ladite sentence, sur les frais et dépens, car il aurait ainsi préjugé de la décision au fond. Cette argumentation n'est pas convaincante. Il convient de souligner, en premier lieu, que le Règlement d'arbitrage de la CCI prévoit expressément la possibilité de rendre des sentences intérimaires et des sentences partielles (art. 2 iii). Or, la recourante ne démontre nullement en quoi l'art. 31 du même règlement interdirait de statuer sur les frais et dépens dans ce type de sentences. Quoi qu'il en soit, il est manifeste que les montants relatifs aux dépens et honoraires résultant de l'incident de compétence n'ont aucune influence sur la solution au fond du litige soumis à l'arbitre unique. Le remboursement, imposé à la recourante, de l'avance effectuée par les intimées à la Cour internationale d'arbitrage de la CCI, équivalant à la moitié des avances de dépens, soit 24'000 US$, pourrait laisser entendre que l'arbitre s'achemine vers une sentence finale donnant gain de cause aux intimées. En fait, cette condamnation à payer une avance de frais de 24'000 US$ ne vise que la part des frais d'arbitrage incombant à la recourante, que celle-ci n'a pas payée mais qui a été avancée par les intimées pour permettre le déroulement de la procédure arbitrale. Dans la mesure où l'autorité arbitrale a ordonné en cours de procédure le remboursement de cette avance faite par la partie adverse, et non pas le paiement de l'intégralité de la provision pour frais d'arbitrage, soit 48'000 US$, la sentence partielle du 2 mai 2002 ne peut raisonnablement pas être interprétée comme une décision préjugeant de l'issue de la procédure arbitrale et de la solution adoptée dans la sentence finale, rendue le 23 décembre 2002. Il s'ensuit que les actes de procédure effectués après la seconde sentence arbitrale partielle du 2 mai 2002 conservent toute leur pertinence, notamment pour la recourante, qui ne peut ainsi pas se plaindre de la violation de son droit d'être entendue. Par conséquent, la Cour de justice n'a pas méconnu l'ordre public visé à l'art. V ch. 2 let. b de la Convention de New York. La critique formulée à ce propos par la recourante tombe, dès lors, à faux.</w:t>
      </w:r>
    </w:p>
    <w:p>
      <w:r>
        <w:rPr>
          <w:b/>
        </w:rPr>
        <w:t>E. 5</w:t>
      </w:r>
    </w:p>
    <w:p>
      <w:r>
        <w:t>La recourante soutient, en dernier lieu, que l'arrêt entrepris consacrerait une application arbitraire de l' art. 80 LP . Dans le cas particulier, les intimées ont fait notifier deux commandements de payer distincts: le premier (poursuite A), pour les montants qui leur ont été alloués dans la sentence arbitrale partielle du 2 mai 2002; le second (poursuite B), pour les sommes octroyées par la Cour d'appel de Paris dans son ordonnance du 11 octobre 2001. Ultérieurement, les intimées ont sollicité, dans une seule requête commune, la mainlevée définitive des deux oppositions faites respectivement à chacun des deux commandements de payer mentionnés ci-dessus. Le grief a ainsi trait à la procédure de mainlevée, qui est réglée par les cantons lorsque le droit fédéral ne contient pas de prescriptions spécifiques ( art. 25 al. 2 let. a LP ; ATF 123 III 271 consid. 4b p. 272 et les références). La Cour de justice constate que, dans leur requête unique, les intimées ont pris des conclusions distinctes pour chacune des deux demandes de mainlevée définitive correspondant à chaque poursuite intentée à l'encontre de la recourante; elle ajoute que cette dernière ne prétend pas que lesdites conclusions auraient été formulées de manière imprécise. Devant le Tribunal fédéral, la recourante n'indique pas quelle disposition du droit de procédure genevois aurait été violée ou interprétée de façon arbitraire. Dans la mesure où son grief est suffisamment articulé au regard des exigences de l' art. 90 al. 1 let. b OJ ( ATF 129 I 113 consid. 2.1, p. 120 et les arrêts cités), il s'avère infondé. En effet, vu les conclusions prises par les intimées, la recourante pouvait savoir sur quel point particulier portait le jugement de mainlevée définitive et reconnaître sans difficulté que cette dernière était accordée pour les montants énumérés dans le premier commandement de payer, pour la sentence arbitrale partielle du 2 mai 2002, et dans le second, pour l'ordonnance du 11 octobre 2001 de la Cour d'appel de Paris.</w:t>
      </w:r>
    </w:p>
    <w:p>
      <w:r>
        <w:rPr>
          <w:b/>
        </w:rPr>
        <w:t>E. 6</w:t>
      </w:r>
    </w:p>
    <w:p>
      <w:r>
        <w:t>La recourante, qui succombe, devra payer l'émolument judiciaire ( art. 156 al.1 OJ ) et verser des dépens aux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