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4P.16/2003 vom 20. Juni 2003</w:t>
      </w:r>
    </w:p>
    <w:p>
      <w:r>
        <w:t>Bundesgericht, 2003-06-20, FR</w:t>
      </w:r>
    </w:p>
    <w:p>
      <w:r>
        <w:rPr>
          <w:b/>
        </w:rPr>
        <w:t xml:space="preserve">Quelle: </w:t>
      </w:r>
      <w:r>
        <w:t>https://mcp.opencaselaw.ch/entscheid/bger_4P.16_2003</w:t>
      </w:r>
    </w:p>
    <w:p>
      <w:r>
        <w:t>FR: TF 4P.16/2003 du 20 juin 2003</w:t>
      </w:r>
    </w:p>
    <w:p>
      <w:r>
        <w:t>IT: TF 4P.16/2003 del 20 giugno 2003</w:t>
      </w:r>
    </w:p>
    <w:p>
      <w:pPr>
        <w:pStyle w:val="Heading2"/>
      </w:pPr>
      <w:r>
        <w:t>Regeste</w:t>
      </w:r>
    </w:p>
    <w:p>
      <w:r>
        <w:t>Procédure</w:t>
      </w:r>
    </w:p>
    <w:p>
      <w:pPr>
        <w:pStyle w:val="Heading2"/>
      </w:pPr>
      <w:r>
        <w:t>Erwägungen</w:t>
      </w:r>
    </w:p>
    <w:p>
      <w:r>
        <w:rPr>
          <w:b/>
        </w:rPr>
        <w:t>E. 1</w:t>
      </w:r>
    </w:p>
    <w:p>
      <w:r>
        <w:t>Conformément à la règle générale de l' art. 57 al. 5 OJ , il y a lieu de statuer d'abord sur le recours de droit public. Cette disposition s'applique également lorsque, comme en l'espèce, le recours en réforme est dirigé contre la décision finale d'une autorité suprême cantonale et que le recours de droit public vise la décision rendue sur un recours en nullité cantonal dans la même cause (arrêt du Tribunal fédéral non publié 4P.203/2001 du 18 mars 2002 consid. 1; Messmer/Imboden, Die eidgenössischen Rechtsmittel in Zivilsachen, Zurich 1992, p. 148, note 12).</w:t>
      </w:r>
    </w:p>
    <w:p>
      <w:r>
        <w:rPr>
          <w:b/>
        </w:rPr>
        <w:t>E. 2</w:t>
      </w:r>
    </w:p>
    <w:p>
      <w:r>
        <w:t>Saisi d'un recours de droit public, le Tribunal fédéral n'examine que les griefs d'ordre constitutionnel expressément soulevés et suffisamment motivés dans l'acte de recours (art. 90 al. 1 lit. b OJ; ATF 127 I 38 consid. 3c). Les conclusions qui vont au-delà de la simple annulation de la décision attaquée sont irrecevables, sauf exceptions non réalisées en l'espèce ( ATF 129 I 129 consid. 1.2.1 et les arrêts cités).</w:t>
      </w:r>
    </w:p>
    <w:p>
      <w:r>
        <w:rPr>
          <w:b/>
        </w:rPr>
        <w:t>E. 3</w:t>
      </w:r>
    </w:p>
    <w:p>
      <w:r>
        <w:t>La recourante se plaint d'arbitraire dans l'appréciation des preuves. Plus précisément, elle reproche aux juges cantonaux d'avoir, dans le même temps, écarté l'échelonnement des salaires prévu dans le plan de commission, mais admis le montant correspondant au salaire de base contenu dans ce document.</w:t>
      </w:r>
    </w:p>
    <w:p>
      <w:r>
        <w:rPr>
          <w:b/>
        </w:rPr>
        <w:t>E. 3.1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et les arrêts cités). S'agissant en particulier de l'appréciation des preuves, le Tribunal fédéral examine seulement si le juge cantonal a outrepassé son pouvoir d'appréciation et établi les faits de manière arbitraire.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127 I 38 consid. 2a). La Chambre des recours, saisie d'un recours en nullité, a, sur les questions relatives à l'appréciation des preuves, un pouvoir d'examen semblable à celui du Tribunal fédéral saisi d'un recours de droit public pour arbitraire ( ATF 126 I 257 consid. 1b). Dans un tel cas, le Tribunal fédéral ne se limite pas à vérifier, sous l'angle de l'arbitraire, si l'autorité cantonale de recours s'est elle-même livrée à une interprétation insoutenable. Il examine au contraire librement si c'est à juste titre que celle-ci n'a pas retenu l'arbitraire (cf. ATF 125 I 492 consid. 1a/cc; 111 Ia 353 consid. 1b p. 355).</w:t>
      </w:r>
    </w:p>
    <w:p>
      <w:r>
        <w:rPr>
          <w:b/>
        </w:rPr>
        <w:t>E. 3.2</w:t>
      </w:r>
    </w:p>
    <w:p>
      <w:r>
        <w:t>Il ressort de l'arrêt attaqué que les premiers juges ont cherché à déterminer la volonté des parties relative au montant de la rémunération de l'employé en cause. Pour ce faire, ils ont examiné les documents qui leur étaient soumis. S'agissant du "plan de commission" rédigé par l'administrateur de l'intimée, les juges cantonaux ont relevé que le document n'avait pas de caractère définitif. Ce constat se fondait sur la nature manuscrite de la pièce, qui comportait au surplus des annotations ultérieures au crayon gris; au vu de sa forme, le document ne pouvait servir - au mieux - que de base de réflexion pour un contrat, lequel n'a en définitive jamais été conclu. De surcroît, la procédure ne révèle aucune déclaration concordante des parties sur leur adhésion à ce "plan de commission". Le comportement subséquent des parties - en ne faisant jamais référence à ce document - ne permet pas davantage de dégager d'intention commune relative à une rémunération de l'employé concerné. Dans ces circonstances, qualifier le plan litigieux de brouillon dont on ne peut déduire aucune volonté claire ou définitive des parties, ne consacre aucun arbitraire, mais relève d'une saine appréciation des preuves. On ne peut donc reprocher à la Chambre des recours d'avoir admis que la portée donnée au plan de commission par les premiers juges n'était pas insoutenable. Dans la mesure où les autres critiques de la recourante se fondent précisément sur l'interprétation du plan de commission auquel les juges cantonaux ont dénié - sans arbitraire - toute force probante, les griefs soulevés sont mal fondés. De toute manière, l'examen du document ne permettrait pas d'arriver aux conclusions que veut en tirer la recourante, ne serait-ce qu'en raison des incertitudes quant à l'interprétation de ce texte, que l'on peut qualifier, sans arbitraire non plus, d'inintelligible.</w:t>
      </w:r>
    </w:p>
    <w:p>
      <w:r>
        <w:rPr>
          <w:b/>
        </w:rPr>
        <w:t>E. 3.3</w:t>
      </w:r>
    </w:p>
    <w:p>
      <w:r>
        <w:t>La recourante critique encore l'application du droit de procédure cantonal par l'autorité de recours, dans le sens où elle soutient que les déclarations prises en considération ne permettaient pas de conclure uniquement à l'existence d'un salaire de base de 6'400 fr.; on devait également en déduire l'existence d'un échelonnement des salaires dans le temps. L'argumentation présentée par la recourante à ce sujet est essentiellement appellatoire. Elle oppose sa propre appréciation à celle des juges cantonaux, mais sans démontrer dans quelle mesure leur position serait insoutenable. On peut donc douter qu'un tel grief remplisse les exigences de motivation figurant à l' art. 90 al. 1 let. b OJ ( ATF 128 I 295 consid. 7a). Au demeurant, on cherche en vain dans les allégations de l'intimée reproduites par la recourante l'admission du principe d'un échelonnement des salaires: il est au contraire toujours fait référence au seul montant de 6'400 fr., respectivement de 3'200 fr. pour une activité à mi-temps. Au vu de l'incertitude de la situation juridique découlant notamment de l'absence de faits probants, la conclusion à laquelle sont parvenus les juges cantonaux n'est donc en tout cas pas arbitraire dans son résultat. Quant aux décisions d'assurances sociales que la recourante fait grief aux premiers juges d'avoir prises en compte pour nier un échelonnement des salaires, elles sont sans pertinence. En effet, la référence à ces décisions dans le raisonnement de la cour cantonale apparaît comme une simple confirmation de l'existence d'un salaire de 6'400 fr. Dans leur appréciation juridique, les premiers juges n'ont pas tiré argument d'une absence de recours de l'employé en cause contre ces décisions. Les développements de la recourante, qui reproche une inadvertance crasse à la Chambre des recours, sont donc sans fondement, car ces éléments ne permettent en tous les cas pas de démontrer l'arbitraire dans le résultat de la décision entreprise. Le recours doit donc être rejeté sur tous ces points.</w:t>
      </w:r>
    </w:p>
    <w:p>
      <w:r>
        <w:rPr>
          <w:b/>
        </w:rPr>
        <w:t>E. 4</w:t>
      </w:r>
    </w:p>
    <w:p>
      <w:r>
        <w:t>La recourante soutient encore qu'il était arbitraire de retenir que l'employé concerné déployait une activité à temps partiel au taux de 60 % pour le compte de l'intimée. A la suivre, cette activité correspondait à un plein temps. Pour parvenir à établir un taux d'activité de 60 %, les premiers juges ont pris en considération les témoignages recueillis, les fiches de vacation remplies par le travailleur, ainsi que l'expertise judiciaire. S'ajoute à cela le constat, admis par toutes les parties, que l'employé en question exerçait à l'époque des activités accessoires. Deux anciens employés de l'intimée ont été entendus sur la question à titre de témoins: le premier a déclaré ignorer le taux d'activité de l'employé concerné, mais a constaté que ce dernier n'était pas tous les jours au bureau; de l'avis du second, A.________ était employé à plein temps. En renonçant à déduire un fait de ces deux témoignages, les premiers juges n'ont absolument pas outrepassé leur pouvoir d'appréciation. Dans la mesure où ils entendaient fonder leur raisonnement sur d'autres éléments en présence, ils pouvaient sans arbitraire aucun écarter ces moyens de preuve. Les fiches de vacation auxquelles font référence les premiers juges ont été soigneusement examinées dans le cadre de l'expertise judiciaire, conformément à la procédure cantonale. Ni le travail de l'expert ni l'application des règles de procédure cantonale n'ont été critiqués. Sans consistance à ces égards, les griefs de la recourante sont mal fondés. II en va de même des déductions qu'elle entend faire du "plan de commission", dont on ne peut tirer aucune portée juridique pour les motifs déjà évoqués ci-dessus (cf. supra consid. 3.2.). Dans ces circonstances, on ne peut reprocher à la Chambre des recours d'avoir considéré que, sur la base des éléments en présence, la déduction des premiers juges quant à une activité à temps partiel de A.________ n'était pas manifestement insoutenable. Dans son recours de droit public, la recourante s'en prend uniquement au principe du travail à temps partiel de A.________, mais ne critique plus le taux de 60 % retenu pour l'activité déployée. Il n'y a donc pas lieu d'examiner ce point sous l'angle de l'arbitraire ( art. 90 al. 1 let. b OJ ). De toute manière, la fixation à 60 % du taux d'activité consacre certes une approximation, mais ce résultat n'est pas choquant : d'une part, il représente une moyenne entre les conclusions extrêmes de l'expertise; d'autre part, une telle solution ne peut être évitée en raison de l'imprécision des faits ressortant de la présente procédure. Par conséquent, le recours doit également être rejeté sur ces points.</w:t>
      </w:r>
    </w:p>
    <w:p>
      <w:r>
        <w:rPr>
          <w:b/>
        </w:rPr>
        <w:t>E. 5</w:t>
      </w:r>
    </w:p>
    <w:p>
      <w:r>
        <w:t>Compte tenu de l'issue de la cause,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